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A50A" w14:textId="77777777" w:rsidR="0086545D" w:rsidRPr="00362D24" w:rsidRDefault="00B80831" w:rsidP="00974511">
      <w:pPr>
        <w:pStyle w:val="TITRE"/>
        <w:rPr>
          <w:lang w:val="fr-FR"/>
        </w:rPr>
      </w:pPr>
      <w:r>
        <w:rPr>
          <w:rFonts w:eastAsia="Arial" w:cs="Times New Roman"/>
          <w:bCs/>
          <w:szCs w:val="28"/>
          <w:lang w:val="fr-FR"/>
        </w:rPr>
        <w:t>CLAIR DE ROSE</w:t>
      </w:r>
    </w:p>
    <w:p w14:paraId="2AF019EB" w14:textId="77777777" w:rsidR="0086545D" w:rsidRPr="00362D24" w:rsidRDefault="0086545D" w:rsidP="0086545D">
      <w:pPr>
        <w:rPr>
          <w:lang w:val="fr-FR"/>
        </w:rPr>
      </w:pPr>
    </w:p>
    <w:p w14:paraId="581F296E" w14:textId="38FAA3DB" w:rsidR="008F3815" w:rsidRPr="00362D24" w:rsidRDefault="00B80831" w:rsidP="0086545D">
      <w:pPr>
        <w:jc w:val="both"/>
        <w:rPr>
          <w:b/>
          <w:bCs/>
          <w:lang w:val="fr-FR"/>
        </w:rPr>
      </w:pPr>
      <w:r>
        <w:rPr>
          <w:rFonts w:eastAsia="Arial" w:cs="Times New Roman"/>
          <w:b/>
          <w:bCs/>
          <w:szCs w:val="20"/>
          <w:lang w:val="fr-FR"/>
        </w:rPr>
        <w:t>TUDOR revisite sa ligne féminine Clair de Rose en y ajoutant de nouveaux cadrans bleus, couleur signature de la marque. Disponibles exclusivement en acier avec des mouvements mécaniques, ces nouvelles configurations se déclinent en trois tailles, chacune avec deux variations.</w:t>
      </w:r>
    </w:p>
    <w:p w14:paraId="3E8551BA" w14:textId="77777777" w:rsidR="008F3815" w:rsidRPr="00362D24" w:rsidRDefault="008F3815" w:rsidP="0086545D">
      <w:pPr>
        <w:jc w:val="both"/>
        <w:rPr>
          <w:lang w:val="fr-FR"/>
        </w:rPr>
      </w:pPr>
    </w:p>
    <w:p w14:paraId="1B9D3493" w14:textId="77777777" w:rsidR="00D03DCB" w:rsidRPr="00362D24" w:rsidRDefault="00B80831" w:rsidP="0086545D">
      <w:pPr>
        <w:jc w:val="both"/>
        <w:rPr>
          <w:rFonts w:cs="Arial"/>
          <w:szCs w:val="20"/>
          <w:lang w:val="fr-FR"/>
        </w:rPr>
      </w:pPr>
      <w:r>
        <w:rPr>
          <w:rFonts w:eastAsia="Arial" w:cs="Times New Roman"/>
          <w:szCs w:val="20"/>
          <w:lang w:val="fr-FR"/>
        </w:rPr>
        <w:t>Clair de Rose est une ligne classique de TUDOR dont le nom fait poétiquement référence à la fois au clair de lune et au logo historique de la marque, une rose, combinant les deux de manière ludique. En 2024, la gamme s’agrandit avec un tout nouveau cadran « bleu TUDOR ». Dans un esprit classique, épuré et intemporel, ce nouveau modèle fait usage des codes esthétiques historiques de la marque sans se départir des douces courbes de sa carrure et de sa couronne caractéristique, ici sertie d’un cabochon spinelle bleu. Disponible en trois tailles, 26, 30 et 34 millimètres de diamètre, la gamme est déclinée avec des cadrans opalins et désormais « bleu TUDOR » aux délicats décors en relief, ponctués de chiffres romains ou de diamants. La Clair de Rose est équipée d’un mouvement automatique avec fonction date et est exclusivement proposée en acier.</w:t>
      </w:r>
    </w:p>
    <w:p w14:paraId="78F6A35F" w14:textId="77777777" w:rsidR="0086545D" w:rsidRPr="00362D24" w:rsidRDefault="0086545D" w:rsidP="0086545D">
      <w:pPr>
        <w:jc w:val="both"/>
        <w:rPr>
          <w:lang w:val="fr-FR"/>
        </w:rPr>
      </w:pPr>
    </w:p>
    <w:p w14:paraId="28E667A7" w14:textId="77777777" w:rsidR="0086545D" w:rsidRPr="00782BAD" w:rsidRDefault="00B80831" w:rsidP="0086545D">
      <w:pPr>
        <w:pStyle w:val="TEXTE"/>
        <w:jc w:val="both"/>
        <w:rPr>
          <w:b/>
          <w:sz w:val="22"/>
          <w:lang w:val="en-US"/>
        </w:rPr>
      </w:pPr>
      <w:r>
        <w:rPr>
          <w:rFonts w:eastAsia="Arial"/>
          <w:b/>
          <w:bCs/>
          <w:sz w:val="22"/>
          <w:szCs w:val="22"/>
          <w:lang w:val="fr-FR"/>
        </w:rPr>
        <w:t>POINTS CLÉS</w:t>
      </w:r>
    </w:p>
    <w:p w14:paraId="2A233A20" w14:textId="5AD1DB92" w:rsidR="00782BAD" w:rsidRPr="00362D24" w:rsidRDefault="00B80831" w:rsidP="00782BAD">
      <w:pPr>
        <w:pStyle w:val="TEXTE"/>
        <w:numPr>
          <w:ilvl w:val="0"/>
          <w:numId w:val="7"/>
        </w:numPr>
        <w:jc w:val="both"/>
        <w:rPr>
          <w:lang w:val="fr-FR"/>
        </w:rPr>
      </w:pPr>
      <w:r>
        <w:rPr>
          <w:rFonts w:eastAsia="Arial"/>
          <w:lang w:val="fr-FR"/>
        </w:rPr>
        <w:t>Boîtier en acier satiné et poli, au design délicat et élégant, s'inspirant du riche héritage de TUDOR</w:t>
      </w:r>
    </w:p>
    <w:p w14:paraId="2479A9E7" w14:textId="77777777" w:rsidR="00BE0F8D" w:rsidRPr="00362D24" w:rsidRDefault="00B80831" w:rsidP="00BE0F8D">
      <w:pPr>
        <w:pStyle w:val="TEXTE"/>
        <w:numPr>
          <w:ilvl w:val="0"/>
          <w:numId w:val="7"/>
        </w:numPr>
        <w:jc w:val="both"/>
        <w:rPr>
          <w:lang w:val="fr-FR"/>
        </w:rPr>
      </w:pPr>
      <w:r>
        <w:rPr>
          <w:rFonts w:eastAsia="Arial"/>
          <w:lang w:val="fr-FR"/>
        </w:rPr>
        <w:t>Cadran « bleu TUDOR » ou opalin, serti ou non de diamants</w:t>
      </w:r>
    </w:p>
    <w:p w14:paraId="6A77D94F" w14:textId="77777777" w:rsidR="00782BAD" w:rsidRPr="00362D24" w:rsidRDefault="00B80831" w:rsidP="00BE0F8D">
      <w:pPr>
        <w:pStyle w:val="TEXTE"/>
        <w:numPr>
          <w:ilvl w:val="0"/>
          <w:numId w:val="7"/>
        </w:numPr>
        <w:jc w:val="both"/>
        <w:rPr>
          <w:lang w:val="fr-FR"/>
        </w:rPr>
      </w:pPr>
      <w:r>
        <w:rPr>
          <w:rFonts w:eastAsia="Arial"/>
          <w:lang w:val="fr-FR"/>
        </w:rPr>
        <w:t>Calibre T601 ou T201 automatique, avec 38 heures de réserve de marche</w:t>
      </w:r>
    </w:p>
    <w:p w14:paraId="12D8961A" w14:textId="39207372" w:rsidR="00782BAD" w:rsidRPr="00362D24" w:rsidRDefault="00B80831" w:rsidP="00782BAD">
      <w:pPr>
        <w:pStyle w:val="TEXTE"/>
        <w:numPr>
          <w:ilvl w:val="0"/>
          <w:numId w:val="7"/>
        </w:numPr>
        <w:jc w:val="both"/>
        <w:rPr>
          <w:lang w:val="fr-FR"/>
        </w:rPr>
      </w:pPr>
      <w:r>
        <w:rPr>
          <w:rFonts w:eastAsia="Arial"/>
          <w:lang w:val="fr-FR"/>
        </w:rPr>
        <w:t>Bracelet « grain de riz » à 5 mailles en acier</w:t>
      </w:r>
    </w:p>
    <w:p w14:paraId="1A03143A" w14:textId="77777777" w:rsidR="00782BAD" w:rsidRPr="00362D24" w:rsidRDefault="00B80831" w:rsidP="00782BAD">
      <w:pPr>
        <w:pStyle w:val="TEXTE"/>
        <w:numPr>
          <w:ilvl w:val="0"/>
          <w:numId w:val="7"/>
        </w:numPr>
        <w:jc w:val="both"/>
        <w:rPr>
          <w:lang w:val="fr-FR"/>
        </w:rPr>
      </w:pPr>
      <w:r>
        <w:rPr>
          <w:rFonts w:eastAsia="Arial"/>
          <w:lang w:val="fr-FR"/>
        </w:rPr>
        <w:t>Cinq ans de garantie transférable, sans inscription, ni contrôles intermédiaires requis</w:t>
      </w:r>
    </w:p>
    <w:p w14:paraId="032BB211" w14:textId="77777777" w:rsidR="006959BE" w:rsidRPr="00362D24" w:rsidRDefault="006959BE" w:rsidP="0086545D">
      <w:pPr>
        <w:pStyle w:val="TEXTE"/>
        <w:jc w:val="both"/>
        <w:rPr>
          <w:lang w:val="fr-FR"/>
        </w:rPr>
      </w:pPr>
    </w:p>
    <w:p w14:paraId="3E5AE41B" w14:textId="77777777" w:rsidR="006959BE" w:rsidRPr="00362D24" w:rsidRDefault="006959BE" w:rsidP="0086545D">
      <w:pPr>
        <w:pStyle w:val="TEXTE"/>
        <w:jc w:val="both"/>
        <w:rPr>
          <w:lang w:val="fr-FR"/>
        </w:rPr>
      </w:pPr>
    </w:p>
    <w:p w14:paraId="3FEDC6EA" w14:textId="77777777" w:rsidR="008F5A64" w:rsidRPr="00362D24" w:rsidRDefault="00B80831" w:rsidP="00D03DCB">
      <w:pPr>
        <w:pStyle w:val="TEXTE"/>
        <w:jc w:val="both"/>
        <w:rPr>
          <w:b/>
          <w:bCs/>
          <w:lang w:val="fr-FR"/>
        </w:rPr>
      </w:pPr>
      <w:r>
        <w:rPr>
          <w:rFonts w:eastAsia="Arial"/>
          <w:b/>
          <w:bCs/>
          <w:lang w:val="fr-FR"/>
        </w:rPr>
        <w:t>L’ESPRIT CLAIR DE ROSE</w:t>
      </w:r>
    </w:p>
    <w:p w14:paraId="1FF4C717" w14:textId="40EC27E7" w:rsidR="00D03DCB" w:rsidRPr="00362D24" w:rsidRDefault="00B80831" w:rsidP="00D03DCB">
      <w:pPr>
        <w:pStyle w:val="TEXTE"/>
        <w:jc w:val="both"/>
        <w:rPr>
          <w:lang w:val="fr-FR"/>
        </w:rPr>
      </w:pPr>
      <w:r>
        <w:rPr>
          <w:rFonts w:eastAsia="Arial"/>
          <w:lang w:val="fr-FR"/>
        </w:rPr>
        <w:t>Cette montre féminine s'inscrit dans la longue histoire de TUDOR, qui remonte à l'ère Art déco du début des années 1930. À l'époque, TUDOR était connue pour fabriquer des montres bijoux délicates et avant-gardistes avec une multitude de détails, allant des gravages décoratifs du boîtier aux ornements subtils du cadran et aux bracelets précieux. S'inscrivant dans la modernité, la ligne Clair de Rose présente un style à la fois délicat et audacieux, faisant référence esthétiquement à des lignes aux noms évocateurs tels que Princess, Glamour ou Miss TUDOR. C’est de cette dernière d’ailleurs que l’un des éléments les plus reconnaissables de la Clair de Rose est repris : sa couronne de remontoir ornée d’un précieux cabochon spinelle. Une autre caractéristique de la ligne Clair de Rose est son bracelet à 5 mailles en acier, parfois surnommé bracelet « grain de riz ». Son des</w:t>
      </w:r>
      <w:r w:rsidR="00831EB5">
        <w:rPr>
          <w:rFonts w:eastAsia="Arial"/>
          <w:lang w:val="fr-FR"/>
        </w:rPr>
        <w:t>sin</w:t>
      </w:r>
      <w:r>
        <w:rPr>
          <w:rFonts w:eastAsia="Arial"/>
          <w:lang w:val="fr-FR"/>
        </w:rPr>
        <w:t xml:space="preserve"> et ses mailles conçus par des experts du domaine lui confèrent une souplesse et un confort inégalés, tandis que ses finitions polies apportent un éclat sophistiqué au poignet.</w:t>
      </w:r>
    </w:p>
    <w:p w14:paraId="0C868D28" w14:textId="77777777" w:rsidR="00D03DCB" w:rsidRPr="00362D24" w:rsidRDefault="00D03DCB" w:rsidP="0086545D">
      <w:pPr>
        <w:pStyle w:val="TEXTE"/>
        <w:jc w:val="both"/>
        <w:rPr>
          <w:lang w:val="fr-FR"/>
        </w:rPr>
      </w:pPr>
    </w:p>
    <w:p w14:paraId="20E1FC2B" w14:textId="77777777" w:rsidR="00D03DCB" w:rsidRPr="00362D24" w:rsidRDefault="00B80831" w:rsidP="00D03DCB">
      <w:pPr>
        <w:pStyle w:val="TEXTE"/>
        <w:jc w:val="both"/>
        <w:rPr>
          <w:b/>
          <w:lang w:val="fr-FR"/>
        </w:rPr>
      </w:pPr>
      <w:r>
        <w:rPr>
          <w:rFonts w:eastAsia="Arial"/>
          <w:b/>
          <w:bCs/>
          <w:lang w:val="fr-FR"/>
        </w:rPr>
        <w:t>LE « BLEU TUDOR »</w:t>
      </w:r>
    </w:p>
    <w:p w14:paraId="1893BFC9" w14:textId="77777777" w:rsidR="0010563C" w:rsidRPr="00362D24" w:rsidRDefault="00B80831" w:rsidP="00D03DCB">
      <w:pPr>
        <w:pStyle w:val="TEXTE"/>
        <w:jc w:val="both"/>
        <w:rPr>
          <w:lang w:val="fr-FR"/>
        </w:rPr>
      </w:pPr>
      <w:r>
        <w:rPr>
          <w:rFonts w:eastAsia="Arial"/>
          <w:lang w:val="fr-FR"/>
        </w:rPr>
        <w:t>Depuis 1969, date à laquelle TUDOR a introduit pour la première fois son cadran bleu caractéristique avec le modèle Submariner, la marque a intégré le principe de permanence du cadran bleu dans ses codes esthétiques, élément différentiant de nombreux modèles de sa collection. Le bleu TUDOR n’est pas une nuance de bleu spécifique, mais plutôt l’idée selon laquelle cette couleur est intimement associée aux produits TUDOR et qu'elle est toujours présente dans son offre.</w:t>
      </w:r>
    </w:p>
    <w:p w14:paraId="77314467" w14:textId="77777777" w:rsidR="00D03DCB" w:rsidRPr="00362D24" w:rsidRDefault="00D03DCB" w:rsidP="00D03DCB">
      <w:pPr>
        <w:pStyle w:val="TEXTE"/>
        <w:jc w:val="both"/>
        <w:rPr>
          <w:lang w:val="fr-FR"/>
        </w:rPr>
      </w:pPr>
    </w:p>
    <w:p w14:paraId="381A2113" w14:textId="77777777" w:rsidR="00547C32" w:rsidRPr="00362D24" w:rsidRDefault="00B80831" w:rsidP="00547C32">
      <w:pPr>
        <w:spacing w:line="240" w:lineRule="auto"/>
        <w:rPr>
          <w:rFonts w:eastAsia="Calibri" w:cs="Arial"/>
          <w:b/>
          <w:szCs w:val="20"/>
          <w:lang w:val="fr-FR"/>
        </w:rPr>
      </w:pPr>
      <w:r>
        <w:rPr>
          <w:rFonts w:eastAsia="Arial" w:cs="Arial"/>
          <w:b/>
          <w:bCs/>
          <w:szCs w:val="20"/>
          <w:lang w:val="fr-FR"/>
        </w:rPr>
        <w:t>LA MANUFACTURE TUDOR</w:t>
      </w:r>
    </w:p>
    <w:p w14:paraId="5D73A0E7" w14:textId="272B233D" w:rsidR="00547C32" w:rsidRPr="00362D24" w:rsidRDefault="00B80831" w:rsidP="00547C32">
      <w:pPr>
        <w:spacing w:line="240" w:lineRule="auto"/>
        <w:jc w:val="both"/>
        <w:rPr>
          <w:rFonts w:cs="Arial"/>
          <w:szCs w:val="20"/>
          <w:lang w:val="fr-FR"/>
        </w:rPr>
      </w:pPr>
      <w:r>
        <w:rPr>
          <w:rFonts w:eastAsia="Arial" w:cs="Arial"/>
          <w:szCs w:val="20"/>
          <w:lang w:val="fr-FR"/>
        </w:rPr>
        <w:t>Chaque montre TUDOR est entièrement assemblée et testée selon les standards haute</w:t>
      </w:r>
      <w:r w:rsidR="001E1FD3">
        <w:rPr>
          <w:rFonts w:eastAsia="Arial" w:cs="Arial"/>
          <w:szCs w:val="20"/>
          <w:lang w:val="fr-FR"/>
        </w:rPr>
        <w:t xml:space="preserve"> </w:t>
      </w:r>
      <w:r>
        <w:rPr>
          <w:rFonts w:eastAsia="Arial" w:cs="Arial"/>
          <w:szCs w:val="20"/>
          <w:lang w:val="fr-FR"/>
        </w:rPr>
        <w:t>performance de la marque dans sa nouvelle Manufacture du Locle, en Suisse. Ce complexe industriel de pointe, terminé en 2021 après trois années de construction, combine le savoir-faire manuel traditionnel de l’horloger avec les systèmes automatisés de certification et les solutions techniques de gestion de production les plus avancés. Entièrement parée de rouge, la Manufacture TUDOR s’étend sur quatre niveaux pour un total de surface utile excédant 5500 mètres carrés. Dans son prolongement, connectée aussi bien physiquement que visuellement, se trouve la Manufacture Kenissi, l’entité industrielle fondée par TUDOR en 2016 pour fabriquer ses mouvements. Grâce à elle et à un réseau d’entreprises contrôlées par TUDOR, la marque a pu verticaliser le développement et la production de mouvement mécanique de haute</w:t>
      </w:r>
      <w:r w:rsidR="001E1FD3">
        <w:rPr>
          <w:rFonts w:eastAsia="Arial" w:cs="Arial"/>
          <w:szCs w:val="20"/>
          <w:lang w:val="fr-FR"/>
        </w:rPr>
        <w:t xml:space="preserve"> </w:t>
      </w:r>
      <w:r>
        <w:rPr>
          <w:rFonts w:eastAsia="Arial" w:cs="Arial"/>
          <w:szCs w:val="20"/>
          <w:lang w:val="fr-FR"/>
        </w:rPr>
        <w:t>performance. TUDOR maîtrise ainsi entièrement sa production de composants stratégiques et peut en garantir la qualité.</w:t>
      </w:r>
    </w:p>
    <w:p w14:paraId="37F0B74D" w14:textId="77777777" w:rsidR="00547C32" w:rsidRPr="00362D24" w:rsidRDefault="00547C32" w:rsidP="00547C32">
      <w:pPr>
        <w:spacing w:line="240" w:lineRule="auto"/>
        <w:rPr>
          <w:rFonts w:cs="Arial"/>
          <w:szCs w:val="20"/>
          <w:lang w:val="fr-FR"/>
        </w:rPr>
      </w:pPr>
    </w:p>
    <w:p w14:paraId="7A075EB2" w14:textId="77777777" w:rsidR="001D1815" w:rsidRDefault="001D1815" w:rsidP="00547C32">
      <w:pPr>
        <w:autoSpaceDE w:val="0"/>
        <w:autoSpaceDN w:val="0"/>
        <w:adjustRightInd w:val="0"/>
        <w:spacing w:line="240" w:lineRule="auto"/>
        <w:jc w:val="both"/>
        <w:rPr>
          <w:rFonts w:eastAsia="Arial" w:cs="Arial"/>
          <w:b/>
          <w:bCs/>
          <w:szCs w:val="20"/>
          <w:lang w:val="fr-FR"/>
        </w:rPr>
      </w:pPr>
    </w:p>
    <w:p w14:paraId="28B4E8B4" w14:textId="03449B53" w:rsidR="00547C32" w:rsidRPr="00362D24" w:rsidRDefault="00B80831" w:rsidP="00547C32">
      <w:pPr>
        <w:autoSpaceDE w:val="0"/>
        <w:autoSpaceDN w:val="0"/>
        <w:adjustRightInd w:val="0"/>
        <w:spacing w:line="240" w:lineRule="auto"/>
        <w:jc w:val="both"/>
        <w:rPr>
          <w:rFonts w:cs="Arial"/>
          <w:b/>
          <w:szCs w:val="20"/>
          <w:lang w:val="fr-FR"/>
        </w:rPr>
      </w:pPr>
      <w:r>
        <w:rPr>
          <w:rFonts w:eastAsia="Arial" w:cs="Arial"/>
          <w:b/>
          <w:bCs/>
          <w:szCs w:val="20"/>
          <w:lang w:val="fr-FR"/>
        </w:rPr>
        <w:t>LA GARANTIE TUDOR</w:t>
      </w:r>
    </w:p>
    <w:p w14:paraId="3F50122A" w14:textId="77777777" w:rsidR="00547C32" w:rsidRPr="00362D24" w:rsidRDefault="00B80831" w:rsidP="00547C32">
      <w:pPr>
        <w:autoSpaceDE w:val="0"/>
        <w:autoSpaceDN w:val="0"/>
        <w:adjustRightInd w:val="0"/>
        <w:spacing w:line="240" w:lineRule="auto"/>
        <w:jc w:val="both"/>
        <w:rPr>
          <w:rFonts w:cs="Arial"/>
          <w:szCs w:val="20"/>
          <w:lang w:val="fr-FR"/>
        </w:rPr>
      </w:pPr>
      <w:r>
        <w:rPr>
          <w:rFonts w:eastAsia="Arial" w:cs="Arial"/>
          <w:szCs w:val="20"/>
          <w:lang w:val="fr-FR"/>
        </w:rPr>
        <w:t>Depuis sa création par Hans Wilsdorf en 1926 et en accord avec sa vision du produit horloger idéal, TUDOR n’a de cesse de créer les montres les plus robustes, durables, fiables et précises qui soient. C’est forte de cette expérience et confiante en la qualité supérieure de ses montres que TUDOR propose une garantie de cinq ans sur tous ses produits. Cette garantie ne nécessite pas d’enregistrement de la montre ni de contrôles intermédiaires et est transférable. TUDOR recommande de faire entretenir ses montres environ tous les dix ans, selon le modèle et l’usage quotidien du porteur.</w:t>
      </w:r>
    </w:p>
    <w:p w14:paraId="7DD5A7C0" w14:textId="77777777" w:rsidR="00547C32" w:rsidRPr="00362D24" w:rsidRDefault="00547C32" w:rsidP="00547C32">
      <w:pPr>
        <w:autoSpaceDE w:val="0"/>
        <w:autoSpaceDN w:val="0"/>
        <w:adjustRightInd w:val="0"/>
        <w:spacing w:line="240" w:lineRule="auto"/>
        <w:jc w:val="both"/>
        <w:rPr>
          <w:rFonts w:cs="Arial"/>
          <w:szCs w:val="20"/>
          <w:lang w:val="fr-FR"/>
        </w:rPr>
      </w:pPr>
    </w:p>
    <w:p w14:paraId="0891706E" w14:textId="77777777" w:rsidR="00547C32" w:rsidRDefault="00B80831" w:rsidP="00547C32">
      <w:pPr>
        <w:spacing w:line="240" w:lineRule="auto"/>
        <w:rPr>
          <w:rFonts w:cs="Arial"/>
          <w:b/>
          <w:szCs w:val="20"/>
          <w:lang w:val="en-GB"/>
        </w:rPr>
      </w:pPr>
      <w:r w:rsidRPr="00362D24">
        <w:rPr>
          <w:rFonts w:eastAsia="Arial" w:cs="Arial"/>
          <w:b/>
          <w:bCs/>
          <w:szCs w:val="20"/>
          <w:shd w:val="clear" w:color="auto" w:fill="FFFFFF"/>
          <w:lang w:val="en-US"/>
        </w:rPr>
        <w:t>TUDOR EST « BORN TO DARE »</w:t>
      </w:r>
    </w:p>
    <w:p w14:paraId="4E92F338" w14:textId="77777777" w:rsidR="00BE0F8D" w:rsidRPr="00362D24" w:rsidRDefault="00B80831" w:rsidP="00BE0F8D">
      <w:pPr>
        <w:pStyle w:val="Corpsdetexte"/>
        <w:spacing w:after="0"/>
        <w:jc w:val="both"/>
        <w:rPr>
          <w:rFonts w:ascii="Arial" w:hAnsi="Arial" w:cs="Arial"/>
          <w:sz w:val="20"/>
          <w:szCs w:val="20"/>
        </w:rPr>
      </w:pPr>
      <w:r>
        <w:rPr>
          <w:rFonts w:ascii="Arial" w:eastAsia="Arial" w:hAnsi="Arial" w:cs="Arial"/>
          <w:sz w:val="20"/>
          <w:szCs w:val="20"/>
        </w:rPr>
        <w:t>En 2017, TUDOR a lancé une nouvelle campagne avec « Born To Dare » comme signature. Elle reflète l’histoire de la marque comme ce qu’elle représente aujourd’hui. Elle raconte les aventures de ces individus qui ont accompli des exploits sur terre, dans les airs, sous l’eau et sur les glaces, une montre TUDOR au poignet. Elle fait également référence à la vision de son fondateur Hans Wilsdorf, pour qui une montre devait être capable de résister aux conditions les plus extrêmes, aux styles de vie les plus audacieux. « Born To Dare » est également l’illustration même de l’approche horlogère unique de TUDOR, qui a fait de la marque ce qu’elle est aujourd’hui. À la pointe de l’industrie horlogère, ses innovations en sont désormais des références incontournables. L’esprit « Born To Dare » de TUDOR est représenté dans le monde entier par des ambassadeurs de premier plan, dont la réussite exceptionnelle est indéniablement le fruit d’une audace peu commune.</w:t>
      </w:r>
    </w:p>
    <w:p w14:paraId="76897B37" w14:textId="77777777" w:rsidR="00BE0F8D" w:rsidRPr="00362D24" w:rsidRDefault="00BE0F8D" w:rsidP="00BE0F8D">
      <w:pPr>
        <w:pStyle w:val="Corpsdetexte"/>
        <w:spacing w:after="0"/>
        <w:jc w:val="both"/>
        <w:rPr>
          <w:rFonts w:ascii="Arial" w:hAnsi="Arial" w:cs="Arial"/>
          <w:sz w:val="20"/>
          <w:szCs w:val="20"/>
        </w:rPr>
      </w:pPr>
    </w:p>
    <w:p w14:paraId="1348DEF3" w14:textId="77777777" w:rsidR="00547C32" w:rsidRPr="00362D24" w:rsidRDefault="00B80831" w:rsidP="00BE0F8D">
      <w:pPr>
        <w:pStyle w:val="Corpsdetexte"/>
        <w:spacing w:after="0"/>
        <w:jc w:val="both"/>
        <w:rPr>
          <w:rFonts w:ascii="Arial" w:hAnsi="Arial" w:cs="Arial"/>
          <w:sz w:val="20"/>
          <w:szCs w:val="20"/>
        </w:rPr>
      </w:pPr>
      <w:r>
        <w:rPr>
          <w:rFonts w:ascii="Arial" w:eastAsia="Arial" w:hAnsi="Arial" w:cs="Arial"/>
          <w:b/>
          <w:bCs/>
          <w:sz w:val="20"/>
          <w:szCs w:val="20"/>
        </w:rPr>
        <w:t>À PROPOS DE TUDOR</w:t>
      </w:r>
    </w:p>
    <w:p w14:paraId="6D9DCE64" w14:textId="77777777" w:rsidR="00547C32" w:rsidRPr="00362D24" w:rsidRDefault="00B80831" w:rsidP="00547C32">
      <w:pPr>
        <w:pStyle w:val="Corpsdetexte"/>
        <w:spacing w:after="0"/>
        <w:jc w:val="both"/>
        <w:rPr>
          <w:rFonts w:ascii="Arial" w:hAnsi="Arial" w:cs="Arial"/>
          <w:sz w:val="20"/>
          <w:szCs w:val="20"/>
        </w:rPr>
      </w:pPr>
      <w:r>
        <w:rPr>
          <w:rFonts w:ascii="Arial" w:eastAsia="Arial" w:hAnsi="Arial" w:cs="Arial"/>
          <w:sz w:val="20"/>
          <w:szCs w:val="20"/>
        </w:rPr>
        <w:t>TUDOR est une marque horlogère suisse primée qui propose des montres mécaniques à l’esthétique raffinée, à la fiabilité éprouvée et au rapport qualité prix unique. Les origines de la marque datent de 1926, quand « The Tudor » fut enregistrée en tant que marque pour le compte de Hans Wilsdorf, fondateur de Rolex. En 1946, ce dernier établit officiellement la société Montres TUDOR SA pour fabriquer ces montres dans le respect de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1926 et TUDOR Royal. Depuis 2015, TUDOR propose également des modèles avec Calibres Manufacture mécaniques aux multiples fonctions et aux performances supérieures.</w:t>
      </w:r>
    </w:p>
    <w:p w14:paraId="5A03C26B" w14:textId="77777777" w:rsidR="0086545D" w:rsidRPr="00362D24" w:rsidRDefault="00B80831" w:rsidP="0086545D">
      <w:pPr>
        <w:rPr>
          <w:rFonts w:cs="Arial"/>
          <w:b/>
          <w:sz w:val="22"/>
          <w:szCs w:val="20"/>
          <w:lang w:val="fr-FR"/>
        </w:rPr>
      </w:pPr>
      <w:r w:rsidRPr="00362D24">
        <w:rPr>
          <w:b/>
          <w:sz w:val="22"/>
          <w:lang w:val="fr-FR"/>
        </w:rPr>
        <w:br w:type="page"/>
      </w:r>
    </w:p>
    <w:p w14:paraId="5D4678E2" w14:textId="77777777" w:rsidR="0010563C" w:rsidRPr="00362D24" w:rsidRDefault="00B80831" w:rsidP="00D03DCB">
      <w:pPr>
        <w:rPr>
          <w:b/>
          <w:bCs/>
          <w:lang w:val="fr-FR"/>
        </w:rPr>
      </w:pPr>
      <w:r>
        <w:rPr>
          <w:rFonts w:eastAsia="Arial" w:cs="Times New Roman"/>
          <w:b/>
          <w:bCs/>
          <w:szCs w:val="20"/>
          <w:lang w:val="fr-FR"/>
        </w:rPr>
        <w:t>RÉFÉRENCES 35200, 35500, 35800</w:t>
      </w:r>
    </w:p>
    <w:p w14:paraId="73985329" w14:textId="77777777" w:rsidR="00D7729B" w:rsidRPr="00362D24" w:rsidRDefault="00D7729B" w:rsidP="00D03DCB">
      <w:pPr>
        <w:rPr>
          <w:b/>
          <w:bCs/>
          <w:lang w:val="fr-FR"/>
        </w:rPr>
      </w:pPr>
    </w:p>
    <w:p w14:paraId="35BB3CAA" w14:textId="77777777" w:rsidR="00D7729B" w:rsidRPr="00362D24" w:rsidRDefault="00B80831" w:rsidP="00D03DCB">
      <w:pPr>
        <w:rPr>
          <w:b/>
          <w:bCs/>
          <w:lang w:val="fr-FR"/>
        </w:rPr>
      </w:pPr>
      <w:r>
        <w:rPr>
          <w:rFonts w:eastAsia="Arial" w:cs="Times New Roman"/>
          <w:b/>
          <w:bCs/>
          <w:szCs w:val="20"/>
          <w:lang w:val="fr-FR"/>
        </w:rPr>
        <w:t>BOÎTIER</w:t>
      </w:r>
    </w:p>
    <w:p w14:paraId="6B130778" w14:textId="185B0391" w:rsidR="0010563C" w:rsidRPr="00362D24" w:rsidRDefault="00B80831" w:rsidP="00D03DCB">
      <w:pPr>
        <w:rPr>
          <w:lang w:val="fr-FR"/>
        </w:rPr>
      </w:pPr>
      <w:r>
        <w:rPr>
          <w:rFonts w:eastAsia="Arial" w:cs="Times New Roman"/>
          <w:szCs w:val="20"/>
          <w:lang w:val="fr-FR"/>
        </w:rPr>
        <w:t>Boîtier en acier 26, 30 ou 34 mm, finition polie</w:t>
      </w:r>
    </w:p>
    <w:p w14:paraId="54126BE5" w14:textId="77777777" w:rsidR="00D7729B" w:rsidRPr="00362D24" w:rsidRDefault="00D7729B" w:rsidP="00D03DCB">
      <w:pPr>
        <w:rPr>
          <w:lang w:val="fr-FR"/>
        </w:rPr>
      </w:pPr>
    </w:p>
    <w:p w14:paraId="61C22035" w14:textId="77777777" w:rsidR="00D7729B" w:rsidRPr="00362D24" w:rsidRDefault="00B80831" w:rsidP="00D03DCB">
      <w:pPr>
        <w:rPr>
          <w:b/>
          <w:bCs/>
          <w:lang w:val="fr-FR"/>
        </w:rPr>
      </w:pPr>
      <w:r>
        <w:rPr>
          <w:rFonts w:eastAsia="Arial" w:cs="Times New Roman"/>
          <w:b/>
          <w:bCs/>
          <w:szCs w:val="20"/>
          <w:lang w:val="fr-FR"/>
        </w:rPr>
        <w:t>LUNETTE</w:t>
      </w:r>
    </w:p>
    <w:p w14:paraId="6F5A804C" w14:textId="21F0EE9A" w:rsidR="0010563C" w:rsidRPr="00362D24" w:rsidRDefault="00B80831" w:rsidP="00D03DCB">
      <w:pPr>
        <w:rPr>
          <w:lang w:val="fr-FR"/>
        </w:rPr>
      </w:pPr>
      <w:r>
        <w:rPr>
          <w:rFonts w:eastAsia="Arial" w:cs="Times New Roman"/>
          <w:szCs w:val="20"/>
          <w:lang w:val="fr-FR"/>
        </w:rPr>
        <w:t>Lunette lisse en acier, finition polie</w:t>
      </w:r>
    </w:p>
    <w:p w14:paraId="7DF8C4CA" w14:textId="77777777" w:rsidR="00D7729B" w:rsidRPr="00362D24" w:rsidRDefault="00D7729B" w:rsidP="00D03DCB">
      <w:pPr>
        <w:rPr>
          <w:lang w:val="fr-FR"/>
        </w:rPr>
      </w:pPr>
    </w:p>
    <w:p w14:paraId="4BA269DA" w14:textId="77777777" w:rsidR="009E76E8" w:rsidRPr="00362D24" w:rsidRDefault="00B80831" w:rsidP="00D03DCB">
      <w:pPr>
        <w:rPr>
          <w:b/>
          <w:bCs/>
          <w:lang w:val="fr-FR"/>
        </w:rPr>
      </w:pPr>
      <w:r>
        <w:rPr>
          <w:rFonts w:eastAsia="Arial" w:cs="Times New Roman"/>
          <w:b/>
          <w:bCs/>
          <w:szCs w:val="20"/>
          <w:lang w:val="fr-FR"/>
        </w:rPr>
        <w:t>COURONNE</w:t>
      </w:r>
    </w:p>
    <w:p w14:paraId="30C39C66" w14:textId="065BA4CB" w:rsidR="009E76E8" w:rsidRPr="00362D24" w:rsidRDefault="00B80831" w:rsidP="00D03DCB">
      <w:pPr>
        <w:rPr>
          <w:lang w:val="fr-FR"/>
        </w:rPr>
      </w:pPr>
      <w:r>
        <w:rPr>
          <w:rFonts w:eastAsia="Arial" w:cs="Times New Roman"/>
          <w:szCs w:val="20"/>
          <w:lang w:val="fr-FR"/>
        </w:rPr>
        <w:t>Couronne de remontoir vissée en acier sertie d’un cabochon spinelle</w:t>
      </w:r>
    </w:p>
    <w:p w14:paraId="5B53C47A" w14:textId="77777777" w:rsidR="009E76E8" w:rsidRPr="00362D24" w:rsidRDefault="009E76E8" w:rsidP="00D03DCB">
      <w:pPr>
        <w:rPr>
          <w:lang w:val="fr-FR"/>
        </w:rPr>
      </w:pPr>
    </w:p>
    <w:p w14:paraId="37A56AD7" w14:textId="77777777" w:rsidR="009E76E8" w:rsidRPr="00362D24" w:rsidRDefault="00B80831" w:rsidP="00D03DCB">
      <w:pPr>
        <w:rPr>
          <w:b/>
          <w:bCs/>
          <w:lang w:val="fr-FR"/>
        </w:rPr>
      </w:pPr>
      <w:r>
        <w:rPr>
          <w:rFonts w:eastAsia="Arial" w:cs="Times New Roman"/>
          <w:b/>
          <w:bCs/>
          <w:szCs w:val="20"/>
          <w:lang w:val="fr-FR"/>
        </w:rPr>
        <w:t>CADRAN</w:t>
      </w:r>
    </w:p>
    <w:p w14:paraId="600090DF" w14:textId="77777777" w:rsidR="009E76E8" w:rsidRPr="00362D24" w:rsidRDefault="00B80831" w:rsidP="00D03DCB">
      <w:pPr>
        <w:rPr>
          <w:lang w:val="fr-FR"/>
        </w:rPr>
      </w:pPr>
      <w:r>
        <w:rPr>
          <w:rFonts w:eastAsia="Arial" w:cs="Times New Roman"/>
          <w:szCs w:val="20"/>
          <w:lang w:val="fr-FR"/>
        </w:rPr>
        <w:t>Bleu ou opalin, serti ou non de diamants</w:t>
      </w:r>
    </w:p>
    <w:p w14:paraId="10C2A1E4" w14:textId="77777777" w:rsidR="009E76E8" w:rsidRPr="00362D24" w:rsidRDefault="009E76E8" w:rsidP="009E76E8">
      <w:pPr>
        <w:rPr>
          <w:lang w:val="fr-FR"/>
        </w:rPr>
      </w:pPr>
    </w:p>
    <w:p w14:paraId="15C96A5E" w14:textId="77777777" w:rsidR="009E76E8" w:rsidRPr="00362D24" w:rsidRDefault="00B80831" w:rsidP="009E76E8">
      <w:pPr>
        <w:rPr>
          <w:b/>
          <w:bCs/>
          <w:lang w:val="fr-FR"/>
        </w:rPr>
      </w:pPr>
      <w:r>
        <w:rPr>
          <w:rFonts w:eastAsia="Arial" w:cs="Times New Roman"/>
          <w:b/>
          <w:bCs/>
          <w:szCs w:val="20"/>
          <w:lang w:val="fr-FR"/>
        </w:rPr>
        <w:t>GLACE</w:t>
      </w:r>
    </w:p>
    <w:p w14:paraId="6B025703" w14:textId="77777777" w:rsidR="009E76E8" w:rsidRPr="00362D24" w:rsidRDefault="00B80831" w:rsidP="009E76E8">
      <w:pPr>
        <w:rPr>
          <w:lang w:val="fr-FR"/>
        </w:rPr>
      </w:pPr>
      <w:r>
        <w:rPr>
          <w:rFonts w:eastAsia="Arial" w:cs="Times New Roman"/>
          <w:szCs w:val="20"/>
          <w:lang w:val="fr-FR"/>
        </w:rPr>
        <w:t>Glace saphir bombée</w:t>
      </w:r>
    </w:p>
    <w:p w14:paraId="53D0F723" w14:textId="77777777" w:rsidR="009E76E8" w:rsidRPr="00362D24" w:rsidRDefault="009E76E8" w:rsidP="009E76E8">
      <w:pPr>
        <w:rPr>
          <w:lang w:val="fr-FR"/>
        </w:rPr>
      </w:pPr>
    </w:p>
    <w:p w14:paraId="12A5ED08" w14:textId="77777777" w:rsidR="009E76E8" w:rsidRPr="00362D24" w:rsidRDefault="00B80831" w:rsidP="009E76E8">
      <w:pPr>
        <w:rPr>
          <w:b/>
          <w:bCs/>
          <w:lang w:val="fr-FR"/>
        </w:rPr>
      </w:pPr>
      <w:r>
        <w:rPr>
          <w:rFonts w:eastAsia="Arial" w:cs="Times New Roman"/>
          <w:b/>
          <w:bCs/>
          <w:szCs w:val="20"/>
          <w:lang w:val="fr-FR"/>
        </w:rPr>
        <w:t>ÉTANCHÉITÉ</w:t>
      </w:r>
    </w:p>
    <w:p w14:paraId="0283144B" w14:textId="77777777" w:rsidR="009E76E8" w:rsidRPr="00362D24" w:rsidRDefault="00B80831" w:rsidP="009E76E8">
      <w:pPr>
        <w:rPr>
          <w:lang w:val="fr-FR"/>
        </w:rPr>
      </w:pPr>
      <w:r>
        <w:rPr>
          <w:rFonts w:eastAsia="Arial" w:cs="Times New Roman"/>
          <w:szCs w:val="20"/>
          <w:lang w:val="fr-FR"/>
        </w:rPr>
        <w:t>Étanche jusqu’à 100 m</w:t>
      </w:r>
    </w:p>
    <w:p w14:paraId="79AE2030" w14:textId="77777777" w:rsidR="009E76E8" w:rsidRPr="00362D24" w:rsidRDefault="009E76E8" w:rsidP="009E76E8">
      <w:pPr>
        <w:rPr>
          <w:lang w:val="fr-FR"/>
        </w:rPr>
      </w:pPr>
    </w:p>
    <w:p w14:paraId="2815D251" w14:textId="77777777" w:rsidR="009E76E8" w:rsidRPr="00362D24" w:rsidRDefault="00B80831" w:rsidP="009E76E8">
      <w:pPr>
        <w:rPr>
          <w:b/>
          <w:bCs/>
          <w:lang w:val="fr-FR"/>
        </w:rPr>
      </w:pPr>
      <w:r>
        <w:rPr>
          <w:rFonts w:eastAsia="Arial" w:cs="Times New Roman"/>
          <w:b/>
          <w:bCs/>
          <w:szCs w:val="20"/>
          <w:lang w:val="fr-FR"/>
        </w:rPr>
        <w:t>BRACELET</w:t>
      </w:r>
    </w:p>
    <w:p w14:paraId="68324829" w14:textId="66A6D612" w:rsidR="009E76E8" w:rsidRPr="00362D24" w:rsidRDefault="00B80831" w:rsidP="009E76E8">
      <w:pPr>
        <w:rPr>
          <w:lang w:val="fr-FR"/>
        </w:rPr>
      </w:pPr>
      <w:r>
        <w:rPr>
          <w:rFonts w:eastAsia="Arial" w:cs="Times New Roman"/>
          <w:szCs w:val="20"/>
          <w:lang w:val="fr-FR"/>
        </w:rPr>
        <w:t>Bracelet en acier à cinq mailles avec boucle déployante et rabat de verrouillage</w:t>
      </w:r>
    </w:p>
    <w:p w14:paraId="6C074BD2" w14:textId="77777777" w:rsidR="009E76E8" w:rsidRPr="00362D24" w:rsidRDefault="009E76E8" w:rsidP="00D03DCB">
      <w:pPr>
        <w:rPr>
          <w:lang w:val="fr-FR"/>
        </w:rPr>
      </w:pPr>
    </w:p>
    <w:p w14:paraId="6EF4ABF3" w14:textId="77777777" w:rsidR="00D7729B" w:rsidRPr="00362D24" w:rsidRDefault="00B80831" w:rsidP="00D03DCB">
      <w:pPr>
        <w:rPr>
          <w:b/>
          <w:bCs/>
          <w:lang w:val="fr-FR"/>
        </w:rPr>
      </w:pPr>
      <w:r>
        <w:rPr>
          <w:rFonts w:eastAsia="Arial" w:cs="Times New Roman"/>
          <w:b/>
          <w:bCs/>
          <w:szCs w:val="20"/>
          <w:lang w:val="fr-FR"/>
        </w:rPr>
        <w:t>MOUVEMENT</w:t>
      </w:r>
    </w:p>
    <w:p w14:paraId="3B758270" w14:textId="77777777" w:rsidR="0010563C" w:rsidRPr="00362D24" w:rsidRDefault="00B80831" w:rsidP="00D03DCB">
      <w:pPr>
        <w:rPr>
          <w:lang w:val="fr-FR"/>
        </w:rPr>
      </w:pPr>
      <w:r>
        <w:rPr>
          <w:rFonts w:eastAsia="Arial" w:cs="Times New Roman"/>
          <w:szCs w:val="20"/>
          <w:lang w:val="fr-FR"/>
        </w:rPr>
        <w:t>Mouvement mécanique à remontage automatique, Calibre T601 (34 mm) ou T201 (26 ou 30 mm)</w:t>
      </w:r>
    </w:p>
    <w:p w14:paraId="2619D197" w14:textId="77777777" w:rsidR="009E76E8" w:rsidRPr="00362D24" w:rsidRDefault="009E76E8" w:rsidP="00D03DCB">
      <w:pPr>
        <w:rPr>
          <w:lang w:val="fr-FR"/>
        </w:rPr>
      </w:pPr>
    </w:p>
    <w:p w14:paraId="478A4B99" w14:textId="77777777" w:rsidR="009E76E8" w:rsidRPr="00362D24" w:rsidRDefault="00B80831" w:rsidP="00D03DCB">
      <w:pPr>
        <w:rPr>
          <w:b/>
          <w:bCs/>
          <w:lang w:val="fr-FR"/>
        </w:rPr>
      </w:pPr>
      <w:r>
        <w:rPr>
          <w:rFonts w:eastAsia="Arial" w:cs="Times New Roman"/>
          <w:b/>
          <w:bCs/>
          <w:szCs w:val="20"/>
          <w:lang w:val="fr-FR"/>
        </w:rPr>
        <w:t>RÉSERVE DE MARCHE</w:t>
      </w:r>
    </w:p>
    <w:p w14:paraId="1F82F9D6" w14:textId="77777777" w:rsidR="0010563C" w:rsidRPr="00362D24" w:rsidRDefault="00B80831" w:rsidP="00D03DCB">
      <w:pPr>
        <w:rPr>
          <w:lang w:val="fr-FR"/>
        </w:rPr>
      </w:pPr>
      <w:r>
        <w:rPr>
          <w:rFonts w:eastAsia="Arial" w:cs="Times New Roman"/>
          <w:szCs w:val="20"/>
          <w:lang w:val="fr-FR"/>
        </w:rPr>
        <w:t>Environ 38 heures</w:t>
      </w:r>
    </w:p>
    <w:p w14:paraId="7EB744A1" w14:textId="77777777" w:rsidR="009E76E8" w:rsidRPr="00362D24" w:rsidRDefault="009E76E8" w:rsidP="009E76E8">
      <w:pPr>
        <w:spacing w:line="240" w:lineRule="auto"/>
        <w:jc w:val="both"/>
        <w:rPr>
          <w:rFonts w:cs="Arial"/>
          <w:szCs w:val="20"/>
          <w:lang w:val="fr-FR"/>
        </w:rPr>
      </w:pPr>
    </w:p>
    <w:p w14:paraId="57D0D60A" w14:textId="77777777" w:rsidR="009E76E8" w:rsidRPr="00362D24" w:rsidRDefault="00B80831" w:rsidP="009E76E8">
      <w:pPr>
        <w:pStyle w:val="TEXTE"/>
        <w:jc w:val="both"/>
        <w:rPr>
          <w:b/>
          <w:lang w:val="fr-FR"/>
        </w:rPr>
      </w:pPr>
      <w:r>
        <w:rPr>
          <w:rFonts w:eastAsia="Arial"/>
          <w:b/>
          <w:bCs/>
          <w:lang w:val="fr-FR"/>
        </w:rPr>
        <w:t>FONCTIONS</w:t>
      </w:r>
    </w:p>
    <w:p w14:paraId="01B019B9" w14:textId="77777777" w:rsidR="009E76E8" w:rsidRPr="00362D24" w:rsidRDefault="00B80831" w:rsidP="009E76E8">
      <w:pPr>
        <w:spacing w:line="240" w:lineRule="auto"/>
        <w:jc w:val="both"/>
        <w:rPr>
          <w:rFonts w:cs="Arial"/>
          <w:szCs w:val="20"/>
          <w:lang w:val="fr-FR"/>
        </w:rPr>
      </w:pPr>
      <w:r>
        <w:rPr>
          <w:rFonts w:eastAsia="Arial" w:cs="Arial"/>
          <w:szCs w:val="20"/>
          <w:lang w:val="fr-FR"/>
        </w:rPr>
        <w:t>Aiguilles des heures, minutes et secondes au centre</w:t>
      </w:r>
    </w:p>
    <w:p w14:paraId="5BD78ABF" w14:textId="77777777" w:rsidR="009E76E8" w:rsidRPr="00362D24" w:rsidRDefault="00B80831" w:rsidP="009E76E8">
      <w:pPr>
        <w:spacing w:line="240" w:lineRule="auto"/>
        <w:jc w:val="both"/>
        <w:rPr>
          <w:rFonts w:cs="Arial"/>
          <w:szCs w:val="20"/>
          <w:lang w:val="fr-FR"/>
        </w:rPr>
      </w:pPr>
      <w:r>
        <w:rPr>
          <w:rFonts w:eastAsia="Arial" w:cs="Arial"/>
          <w:szCs w:val="20"/>
          <w:lang w:val="fr-FR"/>
        </w:rPr>
        <w:t>Date à 3 h</w:t>
      </w:r>
    </w:p>
    <w:p w14:paraId="76F2B899" w14:textId="77777777" w:rsidR="009E76E8" w:rsidRPr="00362D24" w:rsidRDefault="00B80831" w:rsidP="000D2106">
      <w:pPr>
        <w:spacing w:line="240" w:lineRule="auto"/>
        <w:jc w:val="both"/>
        <w:rPr>
          <w:rFonts w:cs="Arial"/>
          <w:szCs w:val="20"/>
          <w:lang w:val="fr-FR"/>
        </w:rPr>
      </w:pPr>
      <w:r>
        <w:rPr>
          <w:rFonts w:eastAsia="Arial" w:cs="Arial"/>
          <w:szCs w:val="20"/>
          <w:lang w:val="fr-FR"/>
        </w:rPr>
        <w:t>Stop seconde pour mise à l’heure précise</w:t>
      </w:r>
    </w:p>
    <w:p w14:paraId="58A0B60C" w14:textId="77777777" w:rsidR="000D2106" w:rsidRPr="00362D24" w:rsidRDefault="000D2106" w:rsidP="000D2106">
      <w:pPr>
        <w:spacing w:line="240" w:lineRule="auto"/>
        <w:jc w:val="both"/>
        <w:rPr>
          <w:rFonts w:cs="Arial"/>
          <w:szCs w:val="20"/>
          <w:lang w:val="fr-FR"/>
        </w:rPr>
      </w:pPr>
    </w:p>
    <w:sectPr w:rsidR="000D2106" w:rsidRPr="00362D24" w:rsidSect="00AE1941">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4B59" w14:textId="77777777" w:rsidR="00B80831" w:rsidRDefault="00B80831">
      <w:pPr>
        <w:spacing w:line="240" w:lineRule="auto"/>
      </w:pPr>
      <w:r>
        <w:separator/>
      </w:r>
    </w:p>
  </w:endnote>
  <w:endnote w:type="continuationSeparator" w:id="0">
    <w:p w14:paraId="3AC4EB37" w14:textId="77777777" w:rsidR="00B80831" w:rsidRDefault="00B80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1A7F" w14:textId="77777777" w:rsidR="00D47BCE" w:rsidRPr="00460145" w:rsidRDefault="00B80831"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7046EDFB" wp14:editId="6C249C4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538D72B7" wp14:editId="7476C599">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0B8766BC" wp14:editId="647D005A">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AA98" w14:textId="77777777" w:rsidR="007407FE" w:rsidRDefault="00B80831"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A8042C1" wp14:editId="058DBAD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9464E1C" wp14:editId="092F46E4">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75BF4D93" wp14:editId="470FFBCF">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3F86" w14:textId="77777777" w:rsidR="00B80831" w:rsidRDefault="00B80831">
      <w:pPr>
        <w:spacing w:line="240" w:lineRule="auto"/>
      </w:pPr>
      <w:r>
        <w:separator/>
      </w:r>
    </w:p>
  </w:footnote>
  <w:footnote w:type="continuationSeparator" w:id="0">
    <w:p w14:paraId="34254B83" w14:textId="77777777" w:rsidR="00B80831" w:rsidRDefault="00B80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FE76" w14:textId="77777777" w:rsidR="00D47BCE" w:rsidRDefault="00B80831" w:rsidP="00D47BCE">
    <w:pPr>
      <w:pStyle w:val="En-tte"/>
      <w:jc w:val="center"/>
    </w:pPr>
    <w:r>
      <w:rPr>
        <w:noProof/>
        <w:lang w:val="fr-FR" w:eastAsia="fr-FR"/>
      </w:rPr>
      <w:drawing>
        <wp:inline distT="0" distB="0" distL="0" distR="0" wp14:anchorId="73D291B2" wp14:editId="702C585D">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1D96" w14:textId="77777777" w:rsidR="007407FE" w:rsidRDefault="00B80831" w:rsidP="007407FE">
    <w:pPr>
      <w:pStyle w:val="En-tte"/>
      <w:jc w:val="center"/>
    </w:pPr>
    <w:r>
      <w:rPr>
        <w:noProof/>
        <w:lang w:val="fr-FR" w:eastAsia="fr-FR"/>
      </w:rPr>
      <w:drawing>
        <wp:inline distT="0" distB="0" distL="0" distR="0" wp14:anchorId="2A837688" wp14:editId="10670039">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1E34F815" w14:textId="77777777" w:rsidR="007407FE" w:rsidRDefault="007407FE" w:rsidP="007407FE">
    <w:pPr>
      <w:pStyle w:val="En-tte"/>
    </w:pPr>
  </w:p>
  <w:p w14:paraId="711E0961" w14:textId="77777777" w:rsidR="007407FE" w:rsidRDefault="007407FE" w:rsidP="007407FE">
    <w:pPr>
      <w:pStyle w:val="En-tte"/>
    </w:pPr>
  </w:p>
  <w:p w14:paraId="285AC095" w14:textId="77777777" w:rsidR="007407FE" w:rsidRDefault="007407FE" w:rsidP="007407FE">
    <w:pPr>
      <w:pStyle w:val="En-tte"/>
    </w:pPr>
  </w:p>
  <w:p w14:paraId="3C9ACECC" w14:textId="77777777" w:rsidR="007407FE" w:rsidRDefault="007407FE" w:rsidP="007407FE">
    <w:pPr>
      <w:pStyle w:val="En-tte"/>
    </w:pPr>
  </w:p>
  <w:p w14:paraId="19FC4A91" w14:textId="77777777" w:rsidR="00306468" w:rsidRDefault="00B80831" w:rsidP="00306468">
    <w:pPr>
      <w:pStyle w:val="EN-TTE0"/>
    </w:pPr>
    <w:r>
      <w:rPr>
        <w:rFonts w:eastAsia="Arial" w:cs="Times New Roman"/>
        <w:color w:val="808080"/>
        <w:szCs w:val="20"/>
        <w:lang w:val="fr-FR"/>
      </w:rPr>
      <w:t>COMMUNIQUÉ DE PRESSE</w:t>
    </w:r>
  </w:p>
  <w:p w14:paraId="7EC56A13" w14:textId="77777777" w:rsidR="00B41716" w:rsidRDefault="00B41716" w:rsidP="00306CFE">
    <w:pPr>
      <w:pStyle w:val="EN-TTE0"/>
    </w:pPr>
  </w:p>
  <w:p w14:paraId="76834D17"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6D608112">
      <w:start w:val="1"/>
      <w:numFmt w:val="decimal"/>
      <w:lvlText w:val="%1."/>
      <w:lvlJc w:val="left"/>
      <w:pPr>
        <w:ind w:left="360" w:hanging="360"/>
      </w:pPr>
    </w:lvl>
    <w:lvl w:ilvl="1" w:tplc="FC9A281A" w:tentative="1">
      <w:start w:val="1"/>
      <w:numFmt w:val="lowerLetter"/>
      <w:lvlText w:val="%2."/>
      <w:lvlJc w:val="left"/>
      <w:pPr>
        <w:ind w:left="1080" w:hanging="360"/>
      </w:pPr>
    </w:lvl>
    <w:lvl w:ilvl="2" w:tplc="F1667DEC" w:tentative="1">
      <w:start w:val="1"/>
      <w:numFmt w:val="lowerRoman"/>
      <w:lvlText w:val="%3."/>
      <w:lvlJc w:val="right"/>
      <w:pPr>
        <w:ind w:left="1800" w:hanging="180"/>
      </w:pPr>
    </w:lvl>
    <w:lvl w:ilvl="3" w:tplc="372A8E26" w:tentative="1">
      <w:start w:val="1"/>
      <w:numFmt w:val="decimal"/>
      <w:lvlText w:val="%4."/>
      <w:lvlJc w:val="left"/>
      <w:pPr>
        <w:ind w:left="2520" w:hanging="360"/>
      </w:pPr>
    </w:lvl>
    <w:lvl w:ilvl="4" w:tplc="C55E534E" w:tentative="1">
      <w:start w:val="1"/>
      <w:numFmt w:val="lowerLetter"/>
      <w:lvlText w:val="%5."/>
      <w:lvlJc w:val="left"/>
      <w:pPr>
        <w:ind w:left="3240" w:hanging="360"/>
      </w:pPr>
    </w:lvl>
    <w:lvl w:ilvl="5" w:tplc="5C4C3B4E" w:tentative="1">
      <w:start w:val="1"/>
      <w:numFmt w:val="lowerRoman"/>
      <w:lvlText w:val="%6."/>
      <w:lvlJc w:val="right"/>
      <w:pPr>
        <w:ind w:left="3960" w:hanging="180"/>
      </w:pPr>
    </w:lvl>
    <w:lvl w:ilvl="6" w:tplc="8BF0071E" w:tentative="1">
      <w:start w:val="1"/>
      <w:numFmt w:val="decimal"/>
      <w:lvlText w:val="%7."/>
      <w:lvlJc w:val="left"/>
      <w:pPr>
        <w:ind w:left="4680" w:hanging="360"/>
      </w:pPr>
    </w:lvl>
    <w:lvl w:ilvl="7" w:tplc="5532C27C" w:tentative="1">
      <w:start w:val="1"/>
      <w:numFmt w:val="lowerLetter"/>
      <w:lvlText w:val="%8."/>
      <w:lvlJc w:val="left"/>
      <w:pPr>
        <w:ind w:left="5400" w:hanging="360"/>
      </w:pPr>
    </w:lvl>
    <w:lvl w:ilvl="8" w:tplc="8F94CA22"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F028F246">
      <w:start w:val="1"/>
      <w:numFmt w:val="decimal"/>
      <w:lvlText w:val="%1."/>
      <w:lvlJc w:val="left"/>
      <w:pPr>
        <w:ind w:left="360" w:hanging="360"/>
      </w:pPr>
    </w:lvl>
    <w:lvl w:ilvl="1" w:tplc="0B5ACC74" w:tentative="1">
      <w:start w:val="1"/>
      <w:numFmt w:val="lowerLetter"/>
      <w:lvlText w:val="%2."/>
      <w:lvlJc w:val="left"/>
      <w:pPr>
        <w:ind w:left="1080" w:hanging="360"/>
      </w:pPr>
    </w:lvl>
    <w:lvl w:ilvl="2" w:tplc="36723CF8" w:tentative="1">
      <w:start w:val="1"/>
      <w:numFmt w:val="lowerRoman"/>
      <w:lvlText w:val="%3."/>
      <w:lvlJc w:val="right"/>
      <w:pPr>
        <w:ind w:left="1800" w:hanging="180"/>
      </w:pPr>
    </w:lvl>
    <w:lvl w:ilvl="3" w:tplc="4C9C8374" w:tentative="1">
      <w:start w:val="1"/>
      <w:numFmt w:val="decimal"/>
      <w:lvlText w:val="%4."/>
      <w:lvlJc w:val="left"/>
      <w:pPr>
        <w:ind w:left="2520" w:hanging="360"/>
      </w:pPr>
    </w:lvl>
    <w:lvl w:ilvl="4" w:tplc="570239CE" w:tentative="1">
      <w:start w:val="1"/>
      <w:numFmt w:val="lowerLetter"/>
      <w:lvlText w:val="%5."/>
      <w:lvlJc w:val="left"/>
      <w:pPr>
        <w:ind w:left="3240" w:hanging="360"/>
      </w:pPr>
    </w:lvl>
    <w:lvl w:ilvl="5" w:tplc="E05CB18A" w:tentative="1">
      <w:start w:val="1"/>
      <w:numFmt w:val="lowerRoman"/>
      <w:lvlText w:val="%6."/>
      <w:lvlJc w:val="right"/>
      <w:pPr>
        <w:ind w:left="3960" w:hanging="180"/>
      </w:pPr>
    </w:lvl>
    <w:lvl w:ilvl="6" w:tplc="A71676FA" w:tentative="1">
      <w:start w:val="1"/>
      <w:numFmt w:val="decimal"/>
      <w:lvlText w:val="%7."/>
      <w:lvlJc w:val="left"/>
      <w:pPr>
        <w:ind w:left="4680" w:hanging="360"/>
      </w:pPr>
    </w:lvl>
    <w:lvl w:ilvl="7" w:tplc="EF867CAE" w:tentative="1">
      <w:start w:val="1"/>
      <w:numFmt w:val="lowerLetter"/>
      <w:lvlText w:val="%8."/>
      <w:lvlJc w:val="left"/>
      <w:pPr>
        <w:ind w:left="5400" w:hanging="360"/>
      </w:pPr>
    </w:lvl>
    <w:lvl w:ilvl="8" w:tplc="824AEB8C" w:tentative="1">
      <w:start w:val="1"/>
      <w:numFmt w:val="lowerRoman"/>
      <w:lvlText w:val="%9."/>
      <w:lvlJc w:val="right"/>
      <w:pPr>
        <w:ind w:left="6120" w:hanging="180"/>
      </w:pPr>
    </w:lvl>
  </w:abstractNum>
  <w:abstractNum w:abstractNumId="3" w15:restartNumberingAfterBreak="0">
    <w:nsid w:val="2DB94154"/>
    <w:multiLevelType w:val="hybridMultilevel"/>
    <w:tmpl w:val="CA1C0894"/>
    <w:lvl w:ilvl="0" w:tplc="BD40D2B2">
      <w:start w:val="1"/>
      <w:numFmt w:val="decimal"/>
      <w:lvlText w:val="%1."/>
      <w:lvlJc w:val="left"/>
      <w:pPr>
        <w:ind w:left="360" w:hanging="360"/>
      </w:pPr>
    </w:lvl>
    <w:lvl w:ilvl="1" w:tplc="AF7EFA12" w:tentative="1">
      <w:start w:val="1"/>
      <w:numFmt w:val="lowerLetter"/>
      <w:lvlText w:val="%2."/>
      <w:lvlJc w:val="left"/>
      <w:pPr>
        <w:ind w:left="1080" w:hanging="360"/>
      </w:pPr>
    </w:lvl>
    <w:lvl w:ilvl="2" w:tplc="2DD6EC2A" w:tentative="1">
      <w:start w:val="1"/>
      <w:numFmt w:val="lowerRoman"/>
      <w:lvlText w:val="%3."/>
      <w:lvlJc w:val="right"/>
      <w:pPr>
        <w:ind w:left="1800" w:hanging="180"/>
      </w:pPr>
    </w:lvl>
    <w:lvl w:ilvl="3" w:tplc="B9768D0E" w:tentative="1">
      <w:start w:val="1"/>
      <w:numFmt w:val="decimal"/>
      <w:lvlText w:val="%4."/>
      <w:lvlJc w:val="left"/>
      <w:pPr>
        <w:ind w:left="2520" w:hanging="360"/>
      </w:pPr>
    </w:lvl>
    <w:lvl w:ilvl="4" w:tplc="E54E8162" w:tentative="1">
      <w:start w:val="1"/>
      <w:numFmt w:val="lowerLetter"/>
      <w:lvlText w:val="%5."/>
      <w:lvlJc w:val="left"/>
      <w:pPr>
        <w:ind w:left="3240" w:hanging="360"/>
      </w:pPr>
    </w:lvl>
    <w:lvl w:ilvl="5" w:tplc="20049918" w:tentative="1">
      <w:start w:val="1"/>
      <w:numFmt w:val="lowerRoman"/>
      <w:lvlText w:val="%6."/>
      <w:lvlJc w:val="right"/>
      <w:pPr>
        <w:ind w:left="3960" w:hanging="180"/>
      </w:pPr>
    </w:lvl>
    <w:lvl w:ilvl="6" w:tplc="BB4CCDF8" w:tentative="1">
      <w:start w:val="1"/>
      <w:numFmt w:val="decimal"/>
      <w:lvlText w:val="%7."/>
      <w:lvlJc w:val="left"/>
      <w:pPr>
        <w:ind w:left="4680" w:hanging="360"/>
      </w:pPr>
    </w:lvl>
    <w:lvl w:ilvl="7" w:tplc="52CE2FC6" w:tentative="1">
      <w:start w:val="1"/>
      <w:numFmt w:val="lowerLetter"/>
      <w:lvlText w:val="%8."/>
      <w:lvlJc w:val="left"/>
      <w:pPr>
        <w:ind w:left="5400" w:hanging="360"/>
      </w:pPr>
    </w:lvl>
    <w:lvl w:ilvl="8" w:tplc="047A06E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FF8C44F6">
      <w:start w:val="1"/>
      <w:numFmt w:val="decimal"/>
      <w:lvlText w:val="%1."/>
      <w:lvlJc w:val="left"/>
      <w:pPr>
        <w:ind w:left="360" w:hanging="360"/>
      </w:pPr>
    </w:lvl>
    <w:lvl w:ilvl="1" w:tplc="0038C3E2" w:tentative="1">
      <w:start w:val="1"/>
      <w:numFmt w:val="lowerLetter"/>
      <w:lvlText w:val="%2."/>
      <w:lvlJc w:val="left"/>
      <w:pPr>
        <w:ind w:left="1080" w:hanging="360"/>
      </w:pPr>
    </w:lvl>
    <w:lvl w:ilvl="2" w:tplc="622838B6" w:tentative="1">
      <w:start w:val="1"/>
      <w:numFmt w:val="lowerRoman"/>
      <w:lvlText w:val="%3."/>
      <w:lvlJc w:val="right"/>
      <w:pPr>
        <w:ind w:left="1800" w:hanging="180"/>
      </w:pPr>
    </w:lvl>
    <w:lvl w:ilvl="3" w:tplc="FCBAEF50" w:tentative="1">
      <w:start w:val="1"/>
      <w:numFmt w:val="decimal"/>
      <w:lvlText w:val="%4."/>
      <w:lvlJc w:val="left"/>
      <w:pPr>
        <w:ind w:left="2520" w:hanging="360"/>
      </w:pPr>
    </w:lvl>
    <w:lvl w:ilvl="4" w:tplc="7F6A674A" w:tentative="1">
      <w:start w:val="1"/>
      <w:numFmt w:val="lowerLetter"/>
      <w:lvlText w:val="%5."/>
      <w:lvlJc w:val="left"/>
      <w:pPr>
        <w:ind w:left="3240" w:hanging="360"/>
      </w:pPr>
    </w:lvl>
    <w:lvl w:ilvl="5" w:tplc="EC645960" w:tentative="1">
      <w:start w:val="1"/>
      <w:numFmt w:val="lowerRoman"/>
      <w:lvlText w:val="%6."/>
      <w:lvlJc w:val="right"/>
      <w:pPr>
        <w:ind w:left="3960" w:hanging="180"/>
      </w:pPr>
    </w:lvl>
    <w:lvl w:ilvl="6" w:tplc="2F9A9594" w:tentative="1">
      <w:start w:val="1"/>
      <w:numFmt w:val="decimal"/>
      <w:lvlText w:val="%7."/>
      <w:lvlJc w:val="left"/>
      <w:pPr>
        <w:ind w:left="4680" w:hanging="360"/>
      </w:pPr>
    </w:lvl>
    <w:lvl w:ilvl="7" w:tplc="E342E292" w:tentative="1">
      <w:start w:val="1"/>
      <w:numFmt w:val="lowerLetter"/>
      <w:lvlText w:val="%8."/>
      <w:lvlJc w:val="left"/>
      <w:pPr>
        <w:ind w:left="5400" w:hanging="360"/>
      </w:pPr>
    </w:lvl>
    <w:lvl w:ilvl="8" w:tplc="9530DF46"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C166D924">
      <w:start w:val="1"/>
      <w:numFmt w:val="decimal"/>
      <w:lvlText w:val="%1."/>
      <w:lvlJc w:val="left"/>
      <w:pPr>
        <w:ind w:left="360" w:hanging="360"/>
      </w:pPr>
    </w:lvl>
    <w:lvl w:ilvl="1" w:tplc="FCC23AB0" w:tentative="1">
      <w:start w:val="1"/>
      <w:numFmt w:val="lowerLetter"/>
      <w:lvlText w:val="%2."/>
      <w:lvlJc w:val="left"/>
      <w:pPr>
        <w:ind w:left="1080" w:hanging="360"/>
      </w:pPr>
    </w:lvl>
    <w:lvl w:ilvl="2" w:tplc="C5504642" w:tentative="1">
      <w:start w:val="1"/>
      <w:numFmt w:val="lowerRoman"/>
      <w:lvlText w:val="%3."/>
      <w:lvlJc w:val="right"/>
      <w:pPr>
        <w:ind w:left="1800" w:hanging="180"/>
      </w:pPr>
    </w:lvl>
    <w:lvl w:ilvl="3" w:tplc="A55EA15A" w:tentative="1">
      <w:start w:val="1"/>
      <w:numFmt w:val="decimal"/>
      <w:lvlText w:val="%4."/>
      <w:lvlJc w:val="left"/>
      <w:pPr>
        <w:ind w:left="2520" w:hanging="360"/>
      </w:pPr>
    </w:lvl>
    <w:lvl w:ilvl="4" w:tplc="97B47B72" w:tentative="1">
      <w:start w:val="1"/>
      <w:numFmt w:val="lowerLetter"/>
      <w:lvlText w:val="%5."/>
      <w:lvlJc w:val="left"/>
      <w:pPr>
        <w:ind w:left="3240" w:hanging="360"/>
      </w:pPr>
    </w:lvl>
    <w:lvl w:ilvl="5" w:tplc="3A820526" w:tentative="1">
      <w:start w:val="1"/>
      <w:numFmt w:val="lowerRoman"/>
      <w:lvlText w:val="%6."/>
      <w:lvlJc w:val="right"/>
      <w:pPr>
        <w:ind w:left="3960" w:hanging="180"/>
      </w:pPr>
    </w:lvl>
    <w:lvl w:ilvl="6" w:tplc="F2C89946" w:tentative="1">
      <w:start w:val="1"/>
      <w:numFmt w:val="decimal"/>
      <w:lvlText w:val="%7."/>
      <w:lvlJc w:val="left"/>
      <w:pPr>
        <w:ind w:left="4680" w:hanging="360"/>
      </w:pPr>
    </w:lvl>
    <w:lvl w:ilvl="7" w:tplc="BF523220" w:tentative="1">
      <w:start w:val="1"/>
      <w:numFmt w:val="lowerLetter"/>
      <w:lvlText w:val="%8."/>
      <w:lvlJc w:val="left"/>
      <w:pPr>
        <w:ind w:left="5400" w:hanging="360"/>
      </w:pPr>
    </w:lvl>
    <w:lvl w:ilvl="8" w:tplc="4466774C"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3CC84020">
      <w:start w:val="1"/>
      <w:numFmt w:val="decimal"/>
      <w:lvlText w:val="%1."/>
      <w:lvlJc w:val="left"/>
      <w:pPr>
        <w:ind w:left="360" w:hanging="360"/>
      </w:pPr>
    </w:lvl>
    <w:lvl w:ilvl="1" w:tplc="5C3A7230" w:tentative="1">
      <w:start w:val="1"/>
      <w:numFmt w:val="lowerLetter"/>
      <w:lvlText w:val="%2."/>
      <w:lvlJc w:val="left"/>
      <w:pPr>
        <w:ind w:left="1080" w:hanging="360"/>
      </w:pPr>
    </w:lvl>
    <w:lvl w:ilvl="2" w:tplc="F520917A" w:tentative="1">
      <w:start w:val="1"/>
      <w:numFmt w:val="lowerRoman"/>
      <w:lvlText w:val="%3."/>
      <w:lvlJc w:val="right"/>
      <w:pPr>
        <w:ind w:left="1800" w:hanging="180"/>
      </w:pPr>
    </w:lvl>
    <w:lvl w:ilvl="3" w:tplc="945C05F8" w:tentative="1">
      <w:start w:val="1"/>
      <w:numFmt w:val="decimal"/>
      <w:lvlText w:val="%4."/>
      <w:lvlJc w:val="left"/>
      <w:pPr>
        <w:ind w:left="2520" w:hanging="360"/>
      </w:pPr>
    </w:lvl>
    <w:lvl w:ilvl="4" w:tplc="34F4FC4A" w:tentative="1">
      <w:start w:val="1"/>
      <w:numFmt w:val="lowerLetter"/>
      <w:lvlText w:val="%5."/>
      <w:lvlJc w:val="left"/>
      <w:pPr>
        <w:ind w:left="3240" w:hanging="360"/>
      </w:pPr>
    </w:lvl>
    <w:lvl w:ilvl="5" w:tplc="64F68D0A" w:tentative="1">
      <w:start w:val="1"/>
      <w:numFmt w:val="lowerRoman"/>
      <w:lvlText w:val="%6."/>
      <w:lvlJc w:val="right"/>
      <w:pPr>
        <w:ind w:left="3960" w:hanging="180"/>
      </w:pPr>
    </w:lvl>
    <w:lvl w:ilvl="6" w:tplc="2722A250" w:tentative="1">
      <w:start w:val="1"/>
      <w:numFmt w:val="decimal"/>
      <w:lvlText w:val="%7."/>
      <w:lvlJc w:val="left"/>
      <w:pPr>
        <w:ind w:left="4680" w:hanging="360"/>
      </w:pPr>
    </w:lvl>
    <w:lvl w:ilvl="7" w:tplc="4F06EFF0" w:tentative="1">
      <w:start w:val="1"/>
      <w:numFmt w:val="lowerLetter"/>
      <w:lvlText w:val="%8."/>
      <w:lvlJc w:val="left"/>
      <w:pPr>
        <w:ind w:left="5400" w:hanging="360"/>
      </w:pPr>
    </w:lvl>
    <w:lvl w:ilvl="8" w:tplc="7C009BD0" w:tentative="1">
      <w:start w:val="1"/>
      <w:numFmt w:val="lowerRoman"/>
      <w:lvlText w:val="%9."/>
      <w:lvlJc w:val="right"/>
      <w:pPr>
        <w:ind w:left="6120" w:hanging="180"/>
      </w:pPr>
    </w:lvl>
  </w:abstractNum>
  <w:num w:numId="1" w16cid:durableId="722294998">
    <w:abstractNumId w:val="4"/>
  </w:num>
  <w:num w:numId="2" w16cid:durableId="1242177164">
    <w:abstractNumId w:val="2"/>
  </w:num>
  <w:num w:numId="3" w16cid:durableId="310670935">
    <w:abstractNumId w:val="1"/>
  </w:num>
  <w:num w:numId="4" w16cid:durableId="1589579076">
    <w:abstractNumId w:val="5"/>
  </w:num>
  <w:num w:numId="5" w16cid:durableId="765266451">
    <w:abstractNumId w:val="6"/>
  </w:num>
  <w:num w:numId="6" w16cid:durableId="1480031538">
    <w:abstractNumId w:val="3"/>
  </w:num>
  <w:num w:numId="7" w16cid:durableId="1737390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45542"/>
    <w:rsid w:val="00047BD2"/>
    <w:rsid w:val="00051096"/>
    <w:rsid w:val="000752F8"/>
    <w:rsid w:val="00077BB1"/>
    <w:rsid w:val="00080BB1"/>
    <w:rsid w:val="00082B27"/>
    <w:rsid w:val="0008530A"/>
    <w:rsid w:val="000A3F98"/>
    <w:rsid w:val="000B0DC0"/>
    <w:rsid w:val="000C5560"/>
    <w:rsid w:val="000D1907"/>
    <w:rsid w:val="000D2106"/>
    <w:rsid w:val="000D3873"/>
    <w:rsid w:val="000F2692"/>
    <w:rsid w:val="000F4270"/>
    <w:rsid w:val="0010563C"/>
    <w:rsid w:val="00160AE4"/>
    <w:rsid w:val="0016103F"/>
    <w:rsid w:val="001878C8"/>
    <w:rsid w:val="001D1815"/>
    <w:rsid w:val="001D6F11"/>
    <w:rsid w:val="001E1FD3"/>
    <w:rsid w:val="002156C0"/>
    <w:rsid w:val="002249B4"/>
    <w:rsid w:val="002431E6"/>
    <w:rsid w:val="002A1B0E"/>
    <w:rsid w:val="002B3242"/>
    <w:rsid w:val="002C1EE4"/>
    <w:rsid w:val="002F46A6"/>
    <w:rsid w:val="00301D81"/>
    <w:rsid w:val="00306468"/>
    <w:rsid w:val="00306CFE"/>
    <w:rsid w:val="00356828"/>
    <w:rsid w:val="003603A8"/>
    <w:rsid w:val="00362D24"/>
    <w:rsid w:val="003812F0"/>
    <w:rsid w:val="003822CD"/>
    <w:rsid w:val="0039334D"/>
    <w:rsid w:val="003B4BA3"/>
    <w:rsid w:val="003D1A8A"/>
    <w:rsid w:val="003E723B"/>
    <w:rsid w:val="00406BB2"/>
    <w:rsid w:val="004227F0"/>
    <w:rsid w:val="00425722"/>
    <w:rsid w:val="00432A58"/>
    <w:rsid w:val="00460145"/>
    <w:rsid w:val="004C4312"/>
    <w:rsid w:val="00502FAC"/>
    <w:rsid w:val="0051259A"/>
    <w:rsid w:val="0053739D"/>
    <w:rsid w:val="005421CD"/>
    <w:rsid w:val="00546B70"/>
    <w:rsid w:val="00547C32"/>
    <w:rsid w:val="00573D3D"/>
    <w:rsid w:val="005A1EA7"/>
    <w:rsid w:val="005E386F"/>
    <w:rsid w:val="005F7902"/>
    <w:rsid w:val="00607BA6"/>
    <w:rsid w:val="006456C4"/>
    <w:rsid w:val="006466E9"/>
    <w:rsid w:val="006504AE"/>
    <w:rsid w:val="006537AA"/>
    <w:rsid w:val="00656731"/>
    <w:rsid w:val="00656CE3"/>
    <w:rsid w:val="00672BA1"/>
    <w:rsid w:val="00683E86"/>
    <w:rsid w:val="00686FC0"/>
    <w:rsid w:val="006959BE"/>
    <w:rsid w:val="006A3C4E"/>
    <w:rsid w:val="006B0D74"/>
    <w:rsid w:val="006B2E74"/>
    <w:rsid w:val="006F2876"/>
    <w:rsid w:val="00715952"/>
    <w:rsid w:val="00733811"/>
    <w:rsid w:val="007407FE"/>
    <w:rsid w:val="00782AA8"/>
    <w:rsid w:val="00782BAD"/>
    <w:rsid w:val="007924F6"/>
    <w:rsid w:val="00794A0D"/>
    <w:rsid w:val="007A4BE6"/>
    <w:rsid w:val="007D1AE6"/>
    <w:rsid w:val="00831EB5"/>
    <w:rsid w:val="00842470"/>
    <w:rsid w:val="00861241"/>
    <w:rsid w:val="00864AB9"/>
    <w:rsid w:val="0086545D"/>
    <w:rsid w:val="0086758D"/>
    <w:rsid w:val="00874183"/>
    <w:rsid w:val="00876292"/>
    <w:rsid w:val="0088182D"/>
    <w:rsid w:val="008D2167"/>
    <w:rsid w:val="008D2254"/>
    <w:rsid w:val="008E5A48"/>
    <w:rsid w:val="008F3815"/>
    <w:rsid w:val="008F5A64"/>
    <w:rsid w:val="008F6271"/>
    <w:rsid w:val="00906D8D"/>
    <w:rsid w:val="00917C1E"/>
    <w:rsid w:val="00923BB7"/>
    <w:rsid w:val="00933D60"/>
    <w:rsid w:val="00940576"/>
    <w:rsid w:val="00942B62"/>
    <w:rsid w:val="00965391"/>
    <w:rsid w:val="00974511"/>
    <w:rsid w:val="00983917"/>
    <w:rsid w:val="009848CB"/>
    <w:rsid w:val="009975E1"/>
    <w:rsid w:val="009C0642"/>
    <w:rsid w:val="009C5712"/>
    <w:rsid w:val="009E76E8"/>
    <w:rsid w:val="009F0446"/>
    <w:rsid w:val="009F343E"/>
    <w:rsid w:val="00A05F86"/>
    <w:rsid w:val="00A62113"/>
    <w:rsid w:val="00A7453A"/>
    <w:rsid w:val="00AA5667"/>
    <w:rsid w:val="00AE1941"/>
    <w:rsid w:val="00B207B7"/>
    <w:rsid w:val="00B31775"/>
    <w:rsid w:val="00B40E46"/>
    <w:rsid w:val="00B41716"/>
    <w:rsid w:val="00B55E0C"/>
    <w:rsid w:val="00B7560C"/>
    <w:rsid w:val="00B80831"/>
    <w:rsid w:val="00B859A9"/>
    <w:rsid w:val="00BB17CE"/>
    <w:rsid w:val="00BC0320"/>
    <w:rsid w:val="00BC39EA"/>
    <w:rsid w:val="00BD5929"/>
    <w:rsid w:val="00BE0F8D"/>
    <w:rsid w:val="00BF7791"/>
    <w:rsid w:val="00C03D0B"/>
    <w:rsid w:val="00C2666F"/>
    <w:rsid w:val="00C3367A"/>
    <w:rsid w:val="00C372BB"/>
    <w:rsid w:val="00C504C9"/>
    <w:rsid w:val="00C50637"/>
    <w:rsid w:val="00C5414E"/>
    <w:rsid w:val="00C60DF4"/>
    <w:rsid w:val="00CB35D7"/>
    <w:rsid w:val="00CD134C"/>
    <w:rsid w:val="00CE6781"/>
    <w:rsid w:val="00CF2EE9"/>
    <w:rsid w:val="00D03DCB"/>
    <w:rsid w:val="00D03DDE"/>
    <w:rsid w:val="00D12B6B"/>
    <w:rsid w:val="00D302AF"/>
    <w:rsid w:val="00D347D8"/>
    <w:rsid w:val="00D37ED8"/>
    <w:rsid w:val="00D47BCE"/>
    <w:rsid w:val="00D47E4D"/>
    <w:rsid w:val="00D502E2"/>
    <w:rsid w:val="00D7729B"/>
    <w:rsid w:val="00D82DFF"/>
    <w:rsid w:val="00DC1960"/>
    <w:rsid w:val="00E5471B"/>
    <w:rsid w:val="00E556FB"/>
    <w:rsid w:val="00E6326C"/>
    <w:rsid w:val="00E72B80"/>
    <w:rsid w:val="00EB62F7"/>
    <w:rsid w:val="00F04A2C"/>
    <w:rsid w:val="00F121F3"/>
    <w:rsid w:val="00F36209"/>
    <w:rsid w:val="00F64252"/>
    <w:rsid w:val="00F65661"/>
    <w:rsid w:val="00F667FA"/>
    <w:rsid w:val="00F94CF0"/>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DC7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7924F6"/>
    <w:pPr>
      <w:spacing w:line="240" w:lineRule="auto"/>
    </w:pPr>
  </w:style>
  <w:style w:type="character" w:styleId="Marquedecommentaire">
    <w:name w:val="annotation reference"/>
    <w:basedOn w:val="Policepardfaut"/>
    <w:uiPriority w:val="99"/>
    <w:semiHidden/>
    <w:unhideWhenUsed/>
    <w:rsid w:val="007924F6"/>
    <w:rPr>
      <w:sz w:val="16"/>
      <w:szCs w:val="16"/>
    </w:rPr>
  </w:style>
  <w:style w:type="paragraph" w:styleId="Commentaire">
    <w:name w:val="annotation text"/>
    <w:basedOn w:val="Normal"/>
    <w:link w:val="CommentaireCar"/>
    <w:uiPriority w:val="99"/>
    <w:unhideWhenUsed/>
    <w:rsid w:val="007924F6"/>
    <w:pPr>
      <w:spacing w:line="240" w:lineRule="auto"/>
    </w:pPr>
    <w:rPr>
      <w:szCs w:val="20"/>
    </w:rPr>
  </w:style>
  <w:style w:type="character" w:customStyle="1" w:styleId="CommentaireCar">
    <w:name w:val="Commentaire Car"/>
    <w:basedOn w:val="Policepardfaut"/>
    <w:link w:val="Commentaire"/>
    <w:uiPriority w:val="99"/>
    <w:rsid w:val="007924F6"/>
    <w:rPr>
      <w:szCs w:val="20"/>
    </w:rPr>
  </w:style>
  <w:style w:type="paragraph" w:styleId="Objetducommentaire">
    <w:name w:val="annotation subject"/>
    <w:basedOn w:val="Commentaire"/>
    <w:next w:val="Commentaire"/>
    <w:link w:val="ObjetducommentaireCar"/>
    <w:uiPriority w:val="99"/>
    <w:semiHidden/>
    <w:unhideWhenUsed/>
    <w:rsid w:val="007924F6"/>
    <w:rPr>
      <w:b/>
      <w:bCs/>
    </w:rPr>
  </w:style>
  <w:style w:type="character" w:customStyle="1" w:styleId="ObjetducommentaireCar">
    <w:name w:val="Objet du commentaire Car"/>
    <w:basedOn w:val="CommentaireCar"/>
    <w:link w:val="Objetducommentaire"/>
    <w:uiPriority w:val="99"/>
    <w:semiHidden/>
    <w:rsid w:val="007924F6"/>
    <w:rPr>
      <w:b/>
      <w:bCs/>
      <w:szCs w:val="20"/>
    </w:rPr>
  </w:style>
  <w:style w:type="character" w:styleId="Lienhypertexte">
    <w:name w:val="Hyperlink"/>
    <w:basedOn w:val="Policepardfaut"/>
    <w:uiPriority w:val="99"/>
    <w:unhideWhenUsed/>
    <w:rsid w:val="00C5414E"/>
    <w:rPr>
      <w:color w:val="0563C1" w:themeColor="hyperlink"/>
      <w:u w:val="single"/>
    </w:rPr>
  </w:style>
  <w:style w:type="character" w:customStyle="1" w:styleId="UnresolvedMention1">
    <w:name w:val="Unresolved Mention1"/>
    <w:basedOn w:val="Policepardfaut"/>
    <w:uiPriority w:val="99"/>
    <w:rsid w:val="000B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13D7-C4F4-4027-8AFA-09FB3972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1103</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Camille Singlis Maguer</cp:lastModifiedBy>
  <cp:revision>15</cp:revision>
  <cp:lastPrinted>2019-11-07T09:48:00Z</cp:lastPrinted>
  <dcterms:created xsi:type="dcterms:W3CDTF">2024-02-12T16:26:00Z</dcterms:created>
  <dcterms:modified xsi:type="dcterms:W3CDTF">2024-03-28T10:13:00Z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82c82b1b-5bb2-44da-a836-43381df652a7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