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 xml:space="preserve">BLACK BAY </w:t>
      </w:r>
      <w:r w:rsidRPr="00737333">
        <w:rPr>
          <w:rFonts w:ascii="Arial" w:eastAsia="Malgun Gothic" w:hAnsi="Arial" w:cs="Arial"/>
          <w:b/>
          <w:sz w:val="20"/>
          <w:szCs w:val="20"/>
          <w:lang w:val="it-IT"/>
        </w:rPr>
        <w:t>BRONZE</w:t>
      </w:r>
    </w:p>
    <w:p w:rsidR="00737333" w:rsidRPr="00737333" w:rsidRDefault="00737333" w:rsidP="00737333">
      <w:pPr>
        <w:spacing w:after="0" w:line="240" w:lineRule="auto"/>
        <w:rPr>
          <w:rFonts w:ascii="Arial" w:eastAsia="Malgun Gothic" w:hAnsi="Arial" w:cs="Arial"/>
          <w:b/>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 xml:space="preserve">Il celebre modello Black Bay Bronze, vincitore del premio “Petite Aiguille” al </w:t>
      </w:r>
      <w:r w:rsidRPr="00737333">
        <w:rPr>
          <w:rFonts w:ascii="Arial" w:eastAsia="Malgun Gothic" w:hAnsi="Arial" w:cs="Arial"/>
          <w:b/>
          <w:i/>
          <w:sz w:val="20"/>
          <w:szCs w:val="20"/>
          <w:lang w:val="it-IT"/>
        </w:rPr>
        <w:t>Grand Prix d’Horlogerie de Genève</w:t>
      </w:r>
      <w:r w:rsidRPr="00737333">
        <w:rPr>
          <w:rFonts w:ascii="Arial" w:eastAsia="Malgun Gothic" w:hAnsi="Arial" w:cs="Arial"/>
          <w:b/>
          <w:sz w:val="20"/>
          <w:szCs w:val="20"/>
          <w:lang w:val="it-IT"/>
        </w:rPr>
        <w:t xml:space="preserve"> 2016 e simbolo del legame di TUDOR con la tradizione navale, è ora disponibile in una nuova versione color grigio ardesia con quadrante sfumato. </w:t>
      </w:r>
    </w:p>
    <w:p w:rsid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Dopo aver presentato il primo modello in bronzo, un Black Bay con quadrante marrone, TUDOR continua a esplorare questo insolito materiale con la sua caratteristica patina. Una nuova colorazione basata sul grigio ardesia ora abbellisce il quadrante e la lunetta di questo orologio subacqueo di grande presenza, il cui aspetto si modifica nel tempo e il cui debito con la tradizione navale è evidente in ogni dettaglio. Il movimento di Manifattura MT5601 garantisce inoltre al Black Bay Bronze prestazioni tecniche elevate.</w:t>
      </w:r>
    </w:p>
    <w:p w:rsid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UNA CASSA CHE “CAMBIA”</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 xml:space="preserve">La caratteristica centrale del modello Black Bay Bronze è la cassa da 43 millimetri in bronzo, un riferimento estetico al materiale usato nelle navi e agli equipaggiamenti da immersione del passato. Questo metallo “vivo” – una lega di alluminio e rame utilizzata soprattutto in ingegneria navale, per le parti sommerse che richiedono un’elevata resistenza alla corrosione – col tempo si ricopre di una leggera patina, che sarà diversa e unica a seconda delle abitudini di chi indossa l’orologio. Oltre ad un aspetto altamente funzionale, e in linea con il mondo a cui rende omaggio, il Black Bay Bronze presenta finiture interamente satinate che assicurano la formazione di una patina uniforme. </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 xml:space="preserve">L’abbinamento del quadrante grigio ardesia, sfumato dall’esterno verso il centro, e della lunetta con gli accenti dorati presenti sulle lancette e gli indici delle ore completano l’estetica del modello. Complessivamente l’effetto visivo è quello di un oggetto ricco e patinato che potrebbe aver solcato i mari del mondo per anni al polso del suo proprietario, che sembra fatto su misura per chi lo indossa e per il suo stile di vita. </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 xml:space="preserve">IL MOVIMENTO DI MANIFATTURA MT5601 </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 xml:space="preserve">Il movimento di Manifattura MT5601 che anima il modello Black Bay Bronze misura 33,8 millimetri di diametro, il più grande di tutti i calibri TUDOR. Indica ore, minuti e secondi, e presenta l’aspetto e la finitura tipici dei calibri di Manifattura TUDOR. Il suo rotore a vista è satinato con dettagli sabbiati, mentre i ponti e la platina hanno superfici sabbiate e lucide alterne e decorazioni a laser. </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 xml:space="preserve">Tanto la struttura come il bilanciere a inerzia variabile (mantenuto in posizione da un robusto ponte passante con due punti di fissaggio) sono stati progettati per garantire solidità, affidabilità e durata nel tempo. Grazie a queste caratteristiche e alla spirale del bilanciere antimagnetica in silicio, il calibro è stato certificato “Cronometro” dal COSC (Controllo Ufficiale Svizzero dei Cronometri). Infine, garantisce un’autonomia di 70 ore: chi indossa l’orologio può dunque toglierlo di venerdì pomeriggio e rimetterlo al polso il lunedì mattina senza doverlo regolare e ricaricare. </w:t>
      </w:r>
    </w:p>
    <w:p w:rsid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UN CINTURINO STORICO</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In un tributo estetico al retaggio navale del Marchio, TUDOR ha ricostruito le vicende storiche dei suoi orologi e le ha reinterpretate nei nuovi modelli. Per esempio, la Marina francese ordinava gli orologi TUDOR senza bracciale e vi aggiungeva i propri cinturini, a volte fatti a mano. Uno di essi, ritrovato su un orologio subacqueo d’epoca conservato negli archivi del Marchio, era ricavato dall’elastico di un paracadute francese. Da questo cimelio altamente funzionale, riconoscibile per il caratteristico filo dorato, discende il cinturino in tessuto jacquard grigio ardesia disponibile per il Black Bay Bronze. Una seconda opzione è un cinturino nero in pelle invecchiata, con un taglio diritto che ne accentua l’aspetto spartano.</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L’ESSENZA DEL BLACK BAY</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Come negli altri modelli della famiglia Black Bay, il quadrante del Black Bay Bronze si ispira a quello degli orologi subacquei prodotti da TUDOR negli anni ’50. Riprende inoltre le lancette dalla caratteristica forma spigolosa, note come “Snowflake”, apparse per la prima volta nel catalogo del Marchio del 1969. Infine, la corona di carica senza spallette di protezione e le anse con fori laterali sono caratteristiche tipiche della prima generazione di orologi subacquei TUDOR.</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La famiglia Black Bay combina sottilmente elementi estetici tradizionali con l’arte orologiera contemporanea. Tutt’altro che semplici riedizioni di modelli classici, gli orologi di questa collezione riassumono l’esperienza sessantennale di TUDOR nella produzione di orologi subacquei, mantenendosi però assolutamente moderni. Malgrado la loro apparenza neo-vintage, le tecniche di produzione, l’affidabilità, la robustezza e la qualità delle loro finiture rispondono ai più rigorosi requisiti odierni.</w:t>
      </w:r>
    </w:p>
    <w:p w:rsidR="00737333" w:rsidRDefault="00737333" w:rsidP="00737333">
      <w:pPr>
        <w:spacing w:after="0" w:line="240" w:lineRule="auto"/>
        <w:rPr>
          <w:rFonts w:ascii="Arial" w:eastAsia="Malgun Gothic" w:hAnsi="Arial" w:cs="Arial"/>
          <w:sz w:val="20"/>
          <w:szCs w:val="20"/>
          <w:lang w:val="it-IT"/>
        </w:rPr>
      </w:pPr>
    </w:p>
    <w:p w:rsidR="00737333" w:rsidRDefault="00737333">
      <w:pPr>
        <w:rPr>
          <w:rFonts w:ascii="Arial" w:eastAsia="Malgun Gothic" w:hAnsi="Arial" w:cs="Arial"/>
          <w:sz w:val="20"/>
          <w:szCs w:val="20"/>
          <w:lang w:val="it-IT"/>
        </w:rPr>
      </w:pPr>
      <w:r>
        <w:rPr>
          <w:rFonts w:ascii="Arial" w:eastAsia="Malgun Gothic" w:hAnsi="Arial" w:cs="Arial"/>
          <w:sz w:val="20"/>
          <w:szCs w:val="20"/>
          <w:lang w:val="it-IT"/>
        </w:rPr>
        <w:br w:type="page"/>
      </w: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REFERENZA 79250BA</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CASSA</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Cassa in bronzo, 43 mm, finitura satinata</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Fondello in acciaio color bronzo trattato PVD</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LUNETTA</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Lunetta girevole unidirezionale in bronzo graduata 60 minuti con disco in alluminio anodizzato grigio ardesia opaco</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CORONA DI CARICA</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Corona di carica a vite in bronzo con incisa la rosa TUDOR</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QUADRANTE</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Grigio ardesia, bombato</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VETRO</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Vetro zaffiro bombato</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IMPERMEABILITÀ</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Impermeabile fino a 200 metri</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BRACCIALE</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Cinturino in nabuk nero arrotondato o in tessuto grigio ardesia con fibbia ad ardiglione in bronzo</w:t>
      </w:r>
    </w:p>
    <w:p w:rsidR="00737333" w:rsidRDefault="00737333" w:rsidP="00737333">
      <w:pPr>
        <w:spacing w:after="0" w:line="240" w:lineRule="auto"/>
        <w:rPr>
          <w:rFonts w:ascii="Arial" w:eastAsia="Malgun Gothic" w:hAnsi="Arial" w:cs="Arial"/>
          <w:b/>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bookmarkStart w:id="0" w:name="_GoBack"/>
      <w:bookmarkEnd w:id="0"/>
      <w:r w:rsidRPr="00737333">
        <w:rPr>
          <w:rFonts w:ascii="Arial" w:eastAsia="Malgun Gothic" w:hAnsi="Arial" w:cs="Arial"/>
          <w:b/>
          <w:sz w:val="20"/>
          <w:szCs w:val="20"/>
          <w:lang w:val="it-IT"/>
        </w:rPr>
        <w:t>MOVIMENTO</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Calibro di Manifattura MT5601 (COSC)</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Movimento meccanico a carica automatica con rotore bidirezionale</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AUTONOMIA</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70 ore circa</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PRECISIONE</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Cronometro svizzero certificato ufficialmente dal COSC</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(Controllo Ufficiale Svizzero dei Cronometri)</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FUNZIONI</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Ore, minuti e secondi al centro</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Funzione fermo secondi per un’impostazione precisa dell’ora</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ORGANO REGOLATORE</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Bilanciere ad inerzia variabile, vite di microregolazione</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Molla a spirale in silicio antimagnetica</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Frequenza: 28.800 alternanze/ora (4 Hz)</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DIAMETRO TOTALE</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33,8 mm</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SPESSORE</w:t>
      </w:r>
    </w:p>
    <w:p w:rsidR="00737333" w:rsidRPr="00737333" w:rsidRDefault="00737333" w:rsidP="00737333">
      <w:pPr>
        <w:spacing w:after="0" w:line="240" w:lineRule="auto"/>
        <w:rPr>
          <w:rFonts w:ascii="Arial" w:eastAsia="Malgun Gothic" w:hAnsi="Arial" w:cs="Arial"/>
          <w:sz w:val="20"/>
          <w:szCs w:val="20"/>
          <w:lang w:val="it-IT"/>
        </w:rPr>
      </w:pPr>
      <w:r w:rsidRPr="00737333">
        <w:rPr>
          <w:rFonts w:ascii="Arial" w:eastAsia="Malgun Gothic" w:hAnsi="Arial" w:cs="Arial"/>
          <w:sz w:val="20"/>
          <w:szCs w:val="20"/>
          <w:lang w:val="it-IT"/>
        </w:rPr>
        <w:t>6,5 mm</w:t>
      </w:r>
    </w:p>
    <w:p w:rsidR="00737333" w:rsidRPr="00737333" w:rsidRDefault="00737333" w:rsidP="00737333">
      <w:pPr>
        <w:spacing w:after="0" w:line="240" w:lineRule="auto"/>
        <w:rPr>
          <w:rFonts w:ascii="Arial" w:eastAsia="Malgun Gothic" w:hAnsi="Arial" w:cs="Arial"/>
          <w:sz w:val="20"/>
          <w:szCs w:val="20"/>
          <w:lang w:val="it-IT"/>
        </w:rPr>
      </w:pPr>
    </w:p>
    <w:p w:rsidR="00737333" w:rsidRPr="00737333" w:rsidRDefault="00737333" w:rsidP="00737333">
      <w:pPr>
        <w:spacing w:after="0" w:line="240" w:lineRule="auto"/>
        <w:rPr>
          <w:rFonts w:ascii="Arial" w:eastAsia="Malgun Gothic" w:hAnsi="Arial" w:cs="Arial"/>
          <w:b/>
          <w:sz w:val="20"/>
          <w:szCs w:val="20"/>
          <w:lang w:val="it-IT"/>
        </w:rPr>
      </w:pPr>
      <w:r w:rsidRPr="00737333">
        <w:rPr>
          <w:rFonts w:ascii="Arial" w:eastAsia="Malgun Gothic" w:hAnsi="Arial" w:cs="Arial"/>
          <w:b/>
          <w:sz w:val="20"/>
          <w:szCs w:val="20"/>
          <w:lang w:val="it-IT"/>
        </w:rPr>
        <w:t>NUMERO DI RUBINI</w:t>
      </w:r>
    </w:p>
    <w:p w:rsidR="004A0C54" w:rsidRPr="00737333" w:rsidRDefault="00737333" w:rsidP="00737333">
      <w:pPr>
        <w:spacing w:after="0" w:line="240" w:lineRule="auto"/>
      </w:pPr>
      <w:r w:rsidRPr="00737333">
        <w:rPr>
          <w:rFonts w:ascii="Arial" w:eastAsia="Malgun Gothic" w:hAnsi="Arial" w:cs="Arial"/>
          <w:sz w:val="20"/>
          <w:szCs w:val="20"/>
          <w:lang w:val="fr-FR"/>
        </w:rPr>
        <w:t xml:space="preserve">25 </w:t>
      </w:r>
      <w:proofErr w:type="spellStart"/>
      <w:r w:rsidRPr="00737333">
        <w:rPr>
          <w:rFonts w:ascii="Arial" w:eastAsia="Malgun Gothic" w:hAnsi="Arial" w:cs="Arial"/>
          <w:sz w:val="20"/>
          <w:szCs w:val="20"/>
          <w:lang w:val="fr-FR"/>
        </w:rPr>
        <w:t>rubini</w:t>
      </w:r>
      <w:proofErr w:type="spellEnd"/>
    </w:p>
    <w:sectPr w:rsidR="004A0C54" w:rsidRPr="00737333"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55" w:rsidRDefault="00514655" w:rsidP="00514655">
      <w:pPr>
        <w:spacing w:after="0" w:line="240" w:lineRule="auto"/>
      </w:pPr>
      <w:r>
        <w:separator/>
      </w:r>
    </w:p>
  </w:endnote>
  <w:endnote w:type="continuationSeparator" w:id="0">
    <w:p w:rsidR="00514655" w:rsidRDefault="00514655"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71614D" w:rsidRDefault="0071614D" w:rsidP="0071614D">
    <w:pPr>
      <w:spacing w:after="0" w:line="240" w:lineRule="auto"/>
      <w:jc w:val="right"/>
      <w:rPr>
        <w:rFonts w:ascii="Arial" w:eastAsia="Malgun Gothic" w:hAnsi="Arial" w:cs="Arial"/>
        <w:b/>
        <w:sz w:val="20"/>
        <w:szCs w:val="20"/>
        <w:lang w:val="de-CH"/>
      </w:rPr>
    </w:pPr>
    <w:r w:rsidRPr="0071614D">
      <w:rPr>
        <w:rFonts w:ascii="Arial" w:eastAsia="Malgun Gothic" w:hAnsi="Arial" w:cs="Arial"/>
        <w:b/>
        <w:sz w:val="20"/>
        <w:szCs w:val="20"/>
        <w:lang w:val="de-CH"/>
      </w:rPr>
      <w:t>BLACK BAY BRONZE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55" w:rsidRDefault="00514655" w:rsidP="00514655">
      <w:pPr>
        <w:spacing w:after="0" w:line="240" w:lineRule="auto"/>
      </w:pPr>
      <w:r>
        <w:separator/>
      </w:r>
    </w:p>
  </w:footnote>
  <w:footnote w:type="continuationSeparator" w:id="0">
    <w:p w:rsidR="00514655" w:rsidRDefault="00514655"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En-tte"/>
      <w:jc w:val="center"/>
      <w:rPr>
        <w:lang w:val="es-ES"/>
      </w:rPr>
    </w:pPr>
    <w:r w:rsidRPr="007B4207">
      <w:rPr>
        <w:noProof/>
        <w:lang w:val="fr-FR" w:eastAsia="fr-FR"/>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711AB"/>
    <w:rsid w:val="0008165A"/>
    <w:rsid w:val="000969FB"/>
    <w:rsid w:val="001B55BA"/>
    <w:rsid w:val="001E6200"/>
    <w:rsid w:val="001F228B"/>
    <w:rsid w:val="00216CF1"/>
    <w:rsid w:val="002238D0"/>
    <w:rsid w:val="002827BC"/>
    <w:rsid w:val="002932B4"/>
    <w:rsid w:val="002A63CB"/>
    <w:rsid w:val="00382D4B"/>
    <w:rsid w:val="003A2121"/>
    <w:rsid w:val="003E1170"/>
    <w:rsid w:val="004A0C54"/>
    <w:rsid w:val="004B7246"/>
    <w:rsid w:val="004C5A16"/>
    <w:rsid w:val="005136E6"/>
    <w:rsid w:val="00514655"/>
    <w:rsid w:val="00560AD5"/>
    <w:rsid w:val="005A24B5"/>
    <w:rsid w:val="005B22C9"/>
    <w:rsid w:val="0065060D"/>
    <w:rsid w:val="006E0CDA"/>
    <w:rsid w:val="006E7B97"/>
    <w:rsid w:val="0071614D"/>
    <w:rsid w:val="00737333"/>
    <w:rsid w:val="007B271D"/>
    <w:rsid w:val="00845EE3"/>
    <w:rsid w:val="00862021"/>
    <w:rsid w:val="00873047"/>
    <w:rsid w:val="00970835"/>
    <w:rsid w:val="00981A44"/>
    <w:rsid w:val="00A41DAC"/>
    <w:rsid w:val="00A752A6"/>
    <w:rsid w:val="00A92A90"/>
    <w:rsid w:val="00AA4561"/>
    <w:rsid w:val="00AE0822"/>
    <w:rsid w:val="00AE09F6"/>
    <w:rsid w:val="00B05881"/>
    <w:rsid w:val="00B36FE0"/>
    <w:rsid w:val="00B85DF6"/>
    <w:rsid w:val="00BC0627"/>
    <w:rsid w:val="00BF3381"/>
    <w:rsid w:val="00C45BE3"/>
    <w:rsid w:val="00C5065C"/>
    <w:rsid w:val="00CB63FC"/>
    <w:rsid w:val="00CC03CC"/>
    <w:rsid w:val="00CE5C48"/>
    <w:rsid w:val="00DC624A"/>
    <w:rsid w:val="00E10179"/>
    <w:rsid w:val="00E11FF0"/>
    <w:rsid w:val="00E44275"/>
    <w:rsid w:val="00E85470"/>
    <w:rsid w:val="00F50D7E"/>
    <w:rsid w:val="00F66FAC"/>
    <w:rsid w:val="00F718EC"/>
    <w:rsid w:val="00F76C5A"/>
    <w:rsid w:val="00F95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B384"/>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45EE3"/>
    <w:rPr>
      <w:rFonts w:ascii="Times New Roman" w:eastAsia="SimSun" w:hAnsi="Times New Roman" w:cs="Mangal"/>
      <w:kern w:val="1"/>
      <w:sz w:val="24"/>
      <w:szCs w:val="24"/>
      <w:lang w:val="fr-FR" w:eastAsia="hi-IN" w:bidi="hi-IN"/>
    </w:rPr>
  </w:style>
  <w:style w:type="paragraph" w:styleId="En-tte">
    <w:name w:val="header"/>
    <w:basedOn w:val="Normal"/>
    <w:link w:val="En-tteCar"/>
    <w:uiPriority w:val="99"/>
    <w:unhideWhenUsed/>
    <w:rsid w:val="00514655"/>
    <w:pPr>
      <w:tabs>
        <w:tab w:val="center" w:pos="4536"/>
        <w:tab w:val="right" w:pos="9072"/>
      </w:tabs>
      <w:spacing w:after="0" w:line="240" w:lineRule="auto"/>
    </w:pPr>
  </w:style>
  <w:style w:type="character" w:customStyle="1" w:styleId="En-tteCar">
    <w:name w:val="En-tête Car"/>
    <w:basedOn w:val="Policepardfaut"/>
    <w:link w:val="En-tte"/>
    <w:uiPriority w:val="99"/>
    <w:rsid w:val="00514655"/>
  </w:style>
  <w:style w:type="paragraph" w:styleId="Pieddepage">
    <w:name w:val="footer"/>
    <w:basedOn w:val="Normal"/>
    <w:link w:val="PieddepageCar"/>
    <w:uiPriority w:val="99"/>
    <w:unhideWhenUsed/>
    <w:rsid w:val="00514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4976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NOVOA Sheila</cp:lastModifiedBy>
  <cp:revision>2</cp:revision>
  <dcterms:created xsi:type="dcterms:W3CDTF">2019-03-20T17:56:00Z</dcterms:created>
  <dcterms:modified xsi:type="dcterms:W3CDTF">2019-03-20T17:56:00Z</dcterms:modified>
</cp:coreProperties>
</file>