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03E8" w14:textId="77777777" w:rsidR="007141CE" w:rsidRPr="00AF3FE4" w:rsidRDefault="00000000" w:rsidP="007141CE">
      <w:pPr>
        <w:pBdr>
          <w:top w:val="nil"/>
          <w:left w:val="nil"/>
          <w:bottom w:val="nil"/>
          <w:right w:val="nil"/>
          <w:between w:val="nil"/>
        </w:pBdr>
        <w:spacing w:line="240" w:lineRule="auto"/>
        <w:rPr>
          <w:b/>
          <w:color w:val="000000"/>
          <w:sz w:val="28"/>
          <w:szCs w:val="28"/>
          <w:lang w:val="en-GB"/>
        </w:rPr>
      </w:pPr>
      <w:r>
        <w:rPr>
          <w:rFonts w:ascii="SimSun" w:eastAsia="SimSun" w:hAnsi="SimSun" w:cs="SimSun"/>
          <w:b/>
          <w:bCs/>
          <w:color w:val="000000"/>
          <w:sz w:val="28"/>
          <w:szCs w:val="28"/>
          <w:lang w:val="en-GB" w:eastAsia="zh-CN"/>
        </w:rPr>
        <w:t>再续粉色敢为精神，帝舵表正式携手迈阿密国际足球俱乐部</w:t>
      </w:r>
    </w:p>
    <w:p w14:paraId="73C5A83B" w14:textId="77777777" w:rsidR="00827D0D" w:rsidRPr="00AF3FE4" w:rsidRDefault="00000000" w:rsidP="007141CE">
      <w:pPr>
        <w:pBdr>
          <w:top w:val="nil"/>
          <w:left w:val="nil"/>
          <w:bottom w:val="nil"/>
          <w:right w:val="nil"/>
          <w:between w:val="nil"/>
        </w:pBdr>
        <w:spacing w:line="240" w:lineRule="auto"/>
        <w:rPr>
          <w:sz w:val="22"/>
          <w:szCs w:val="22"/>
          <w:lang w:val="en-GB"/>
        </w:rPr>
      </w:pPr>
      <w:r>
        <w:rPr>
          <w:rFonts w:ascii="SimSun" w:eastAsia="SimSun" w:hAnsi="SimSun" w:cs="SimSun"/>
          <w:lang w:val="en-GB" w:eastAsia="zh-CN"/>
        </w:rPr>
        <w:br/>
      </w:r>
      <w:r w:rsidRPr="0044705E">
        <w:rPr>
          <w:rFonts w:ascii="SimSun" w:eastAsia="SimSun" w:hAnsi="SimSun" w:cs="SimSun"/>
          <w:sz w:val="22"/>
          <w:szCs w:val="22"/>
          <w:lang w:val="en-GB" w:eastAsia="zh-CN"/>
        </w:rPr>
        <w:t>帝舵表现成为迈阿密国际足球俱乐部（Inter Miami CF）官方计时。凭着与生俱来的敢为精神，迈阿密国际为本地乃至国际球迷持续带来精彩的世界级足球赛事，仅至第五赛季就已成为最受瞩目的热门球队之一。</w:t>
      </w:r>
    </w:p>
    <w:p w14:paraId="00D3CE2F" w14:textId="77777777" w:rsidR="00827D0D" w:rsidRPr="00AF3FE4" w:rsidRDefault="00827D0D" w:rsidP="007141CE">
      <w:pPr>
        <w:spacing w:line="240" w:lineRule="auto"/>
        <w:jc w:val="both"/>
        <w:rPr>
          <w:b/>
          <w:sz w:val="22"/>
          <w:szCs w:val="22"/>
          <w:lang w:val="en-GB"/>
        </w:rPr>
      </w:pPr>
    </w:p>
    <w:p w14:paraId="5899802B" w14:textId="77777777" w:rsidR="00827D0D" w:rsidRPr="00AF3FE4" w:rsidRDefault="00000000" w:rsidP="007141CE">
      <w:pPr>
        <w:spacing w:line="240" w:lineRule="auto"/>
        <w:jc w:val="both"/>
        <w:rPr>
          <w:color w:val="202122"/>
          <w:sz w:val="22"/>
          <w:szCs w:val="22"/>
          <w:lang w:val="en-GB"/>
        </w:rPr>
      </w:pPr>
      <w:r>
        <w:rPr>
          <w:rFonts w:ascii="SimSun" w:eastAsia="SimSun" w:hAnsi="SimSun" w:cs="SimSun"/>
          <w:sz w:val="22"/>
          <w:szCs w:val="22"/>
          <w:lang w:val="en-GB" w:eastAsia="zh-CN"/>
        </w:rPr>
        <w:t>帝舵表代言人兼迈阿密国际共同持有者大卫・贝克汉姆（David Beckham）、主席豪尔赫・马斯（Jorge Mas），以及另一位共同持有者何塞・马斯（Jose Mas）都是帝舵表“天生敢为”（Born To Dare）精神的最佳实践者。他们目标远大，雄心勃勃，以独到眼光和非凡气魄打造出这支与众不同的国际足球俱乐部。俱乐部从零开始，以“自由梦想”为座右铭，如今已吸引多位全球最优秀球员加盟。</w:t>
      </w:r>
    </w:p>
    <w:p w14:paraId="13D6DA13" w14:textId="77777777" w:rsidR="00827D0D" w:rsidRPr="00AF3FE4" w:rsidRDefault="00827D0D" w:rsidP="007141CE">
      <w:pPr>
        <w:spacing w:line="240" w:lineRule="auto"/>
        <w:jc w:val="both"/>
        <w:rPr>
          <w:color w:val="202122"/>
          <w:sz w:val="22"/>
          <w:szCs w:val="22"/>
          <w:lang w:val="en-GB"/>
        </w:rPr>
      </w:pPr>
    </w:p>
    <w:p w14:paraId="3478D1C9" w14:textId="77777777" w:rsidR="00827D0D" w:rsidRPr="00AF3FE4" w:rsidRDefault="00000000" w:rsidP="007141CE">
      <w:pPr>
        <w:spacing w:line="240" w:lineRule="auto"/>
        <w:jc w:val="both"/>
        <w:rPr>
          <w:b/>
          <w:color w:val="202122"/>
          <w:sz w:val="22"/>
          <w:szCs w:val="22"/>
          <w:lang w:val="en-GB"/>
        </w:rPr>
      </w:pPr>
      <w:r>
        <w:rPr>
          <w:rFonts w:ascii="SimSun" w:eastAsia="SimSun" w:hAnsi="SimSun" w:cs="SimSun"/>
          <w:b/>
          <w:bCs/>
          <w:color w:val="202122"/>
          <w:sz w:val="22"/>
          <w:szCs w:val="22"/>
          <w:lang w:val="en-GB" w:eastAsia="zh-CN"/>
        </w:rPr>
        <w:t>粉色，敢为者的宣言</w:t>
      </w:r>
    </w:p>
    <w:p w14:paraId="1A14DF6B" w14:textId="77777777" w:rsidR="00827D0D" w:rsidRPr="00AF3FE4" w:rsidRDefault="00000000" w:rsidP="007141CE">
      <w:pPr>
        <w:spacing w:line="240" w:lineRule="auto"/>
        <w:jc w:val="both"/>
        <w:rPr>
          <w:color w:val="202122"/>
          <w:sz w:val="22"/>
          <w:szCs w:val="22"/>
          <w:lang w:val="en-GB"/>
        </w:rPr>
      </w:pPr>
      <w:r>
        <w:rPr>
          <w:rFonts w:ascii="SimSun" w:eastAsia="SimSun" w:hAnsi="SimSun" w:cs="SimSun"/>
          <w:color w:val="202122"/>
          <w:sz w:val="22"/>
          <w:szCs w:val="22"/>
          <w:lang w:val="en-GB" w:eastAsia="zh-CN"/>
        </w:rPr>
        <w:t>迈阿密国际足球俱乐部打破常规，以粉色作为球队代表色，不仅代表着美国佛罗里达州南部充满活力的生活灵感，更彰显出这支球队独特的魅力，这一极具辨识度的色彩也迅速风靡全球。它成为俱乐部及其球迷天生敢为的明证。同是这份精神，在近一世纪前赋予了帝舵表生命，如今则凝炼于品牌“天生敢为”的宣言之中。</w:t>
      </w:r>
    </w:p>
    <w:p w14:paraId="2DCBC5B8" w14:textId="77777777" w:rsidR="00827D0D" w:rsidRPr="00AF3FE4" w:rsidRDefault="00827D0D" w:rsidP="007141CE">
      <w:pPr>
        <w:spacing w:line="240" w:lineRule="auto"/>
        <w:jc w:val="both"/>
        <w:rPr>
          <w:color w:val="202122"/>
          <w:sz w:val="22"/>
          <w:szCs w:val="22"/>
          <w:lang w:val="en-GB"/>
        </w:rPr>
      </w:pPr>
    </w:p>
    <w:p w14:paraId="7D6CE002" w14:textId="77777777" w:rsidR="00827D0D" w:rsidRPr="00AF3FE4" w:rsidRDefault="00000000" w:rsidP="007141CE">
      <w:pPr>
        <w:spacing w:line="240" w:lineRule="auto"/>
        <w:jc w:val="both"/>
        <w:rPr>
          <w:b/>
          <w:color w:val="202122"/>
          <w:sz w:val="22"/>
          <w:szCs w:val="22"/>
          <w:lang w:val="en-GB"/>
        </w:rPr>
      </w:pPr>
      <w:r>
        <w:rPr>
          <w:rFonts w:ascii="SimSun" w:eastAsia="SimSun" w:hAnsi="SimSun" w:cs="SimSun"/>
          <w:b/>
          <w:bCs/>
          <w:color w:val="202122"/>
          <w:sz w:val="22"/>
          <w:szCs w:val="22"/>
          <w:lang w:val="en-GB" w:eastAsia="zh-CN"/>
        </w:rPr>
        <w:t>帝舵表担任迈阿密国际足球俱乐部官方计时</w:t>
      </w:r>
    </w:p>
    <w:p w14:paraId="54DAA775" w14:textId="77777777" w:rsidR="00827D0D" w:rsidRPr="00AF3FE4" w:rsidRDefault="00000000" w:rsidP="007141CE">
      <w:pPr>
        <w:spacing w:line="240" w:lineRule="auto"/>
        <w:jc w:val="both"/>
        <w:rPr>
          <w:color w:val="202122"/>
          <w:sz w:val="22"/>
          <w:szCs w:val="22"/>
          <w:lang w:val="en-GB"/>
        </w:rPr>
      </w:pPr>
      <w:r>
        <w:rPr>
          <w:rFonts w:ascii="SimSun" w:eastAsia="SimSun" w:hAnsi="SimSun" w:cs="SimSun"/>
          <w:color w:val="202122"/>
          <w:sz w:val="22"/>
          <w:szCs w:val="22"/>
          <w:lang w:val="en-GB" w:eastAsia="zh-CN"/>
        </w:rPr>
        <w:t>作为这支备受期待球队的官方指定计时，球迷将会在迈阿密大通体育场（Chase Stadium）周围看到帝舵表盾牌标志。事实上，早在俱乐部成立之前，帝舵表就已经与大卫・贝克汉姆合作。多年前，帝舵表曾送给大卫一只表盘上印有迈阿密国际足球俱乐部标志的帝舵领潜型腕表。此后的每场赛事，他都会佩戴这只腕表。而帝舵表也一直伴随着迈阿密国际的发展。如今，双方正式确立关系，让人对未来的合作更加期待。</w:t>
      </w:r>
    </w:p>
    <w:p w14:paraId="635721B9" w14:textId="77777777" w:rsidR="00827D0D" w:rsidRPr="00AF3FE4" w:rsidRDefault="00827D0D" w:rsidP="007141CE">
      <w:pPr>
        <w:pBdr>
          <w:top w:val="nil"/>
          <w:left w:val="nil"/>
          <w:bottom w:val="nil"/>
          <w:right w:val="nil"/>
          <w:between w:val="nil"/>
        </w:pBdr>
        <w:spacing w:line="240" w:lineRule="auto"/>
        <w:jc w:val="both"/>
        <w:rPr>
          <w:b/>
          <w:color w:val="000000"/>
          <w:sz w:val="22"/>
          <w:szCs w:val="22"/>
          <w:lang w:val="en-GB"/>
        </w:rPr>
      </w:pPr>
    </w:p>
    <w:p w14:paraId="20B59777" w14:textId="77777777" w:rsidR="00827D0D" w:rsidRPr="00AF3FE4" w:rsidRDefault="00000000" w:rsidP="007141CE">
      <w:pPr>
        <w:pBdr>
          <w:top w:val="nil"/>
          <w:left w:val="nil"/>
          <w:bottom w:val="nil"/>
          <w:right w:val="nil"/>
          <w:between w:val="nil"/>
        </w:pBdr>
        <w:spacing w:line="240" w:lineRule="auto"/>
        <w:jc w:val="both"/>
        <w:rPr>
          <w:b/>
          <w:color w:val="000000"/>
          <w:sz w:val="22"/>
          <w:szCs w:val="22"/>
          <w:lang w:val="en-GB"/>
        </w:rPr>
      </w:pPr>
      <w:r>
        <w:rPr>
          <w:rFonts w:ascii="SimSun" w:eastAsia="SimSun" w:hAnsi="SimSun" w:cs="SimSun"/>
          <w:b/>
          <w:bCs/>
          <w:color w:val="000000"/>
          <w:sz w:val="22"/>
          <w:szCs w:val="22"/>
          <w:lang w:val="en-GB" w:eastAsia="zh-CN"/>
        </w:rPr>
        <w:t>帝舵表天生敢为</w:t>
      </w:r>
    </w:p>
    <w:p w14:paraId="7180813A" w14:textId="77777777" w:rsidR="00827D0D" w:rsidRPr="00AF3FE4" w:rsidRDefault="00000000" w:rsidP="007141CE">
      <w:pPr>
        <w:pBdr>
          <w:top w:val="nil"/>
          <w:left w:val="nil"/>
          <w:bottom w:val="nil"/>
          <w:right w:val="nil"/>
          <w:between w:val="nil"/>
        </w:pBdr>
        <w:spacing w:line="240" w:lineRule="auto"/>
        <w:jc w:val="both"/>
        <w:rPr>
          <w:color w:val="000000"/>
          <w:sz w:val="22"/>
          <w:szCs w:val="22"/>
          <w:lang w:val="en-GB"/>
        </w:rPr>
      </w:pPr>
      <w:r>
        <w:rPr>
          <w:rFonts w:ascii="SimSun" w:eastAsia="SimSun" w:hAnsi="SimSun" w:cs="SimSun"/>
          <w:color w:val="000000"/>
          <w:sz w:val="22"/>
          <w:szCs w:val="22"/>
          <w:lang w:val="en-GB" w:eastAsia="zh-CN"/>
        </w:rPr>
        <w:t>“天生敢为”（Born To Dare）精神是帝舵表的灵魂。传承品牌丰硕传统，呈现当下价值理念。它秉承自帝舵表创始人汉斯・威尔斯多夫（Hans Wilsdorf）的制表愿景，即使面对严苛的环境，帝舵表依旧表现出色，为每一位勇者所选戴。它致敬每一位无名且无所畏惧的勇者，伴随他们在陆地、冰川、空中和水下四大领域创下非凡成就。它亦贯彻在品牌制表工艺之中，是精湛技艺的明证，奠定帝舵表在业内的前沿地位。如今，这股力求创新与不断突破的制表精神已成为行业准则。不仅如此，帝舵表“#天生敢为#”的精神还得到全球众多知名代言人和合作伙伴支持，包括大卫・贝克汉姆、周杰伦、全黑队（All Blacks）、帝舵表职业自行车队（TUDOR Pro Cycling Team）、阿灵基红牛帆船队（Alinghi Red Bull Racing team）、Visa Cash App RB F1车队、世界冲浪联盟（World Surf League）、大浪滑浪手尼克・冯・鲁普（Nic von Rupp）、三届自由潜水世界冠军摩根・波奇斯（Morgan Bourc'his）及迈阿密国际足球俱乐部，正是天生敢为的生活态度推动他们不断前行，取得毕生成就。</w:t>
      </w:r>
    </w:p>
    <w:p w14:paraId="69EA7578" w14:textId="77777777" w:rsidR="00827D0D" w:rsidRPr="00AF3FE4" w:rsidRDefault="00827D0D" w:rsidP="007141CE">
      <w:pPr>
        <w:spacing w:line="240" w:lineRule="auto"/>
        <w:jc w:val="both"/>
        <w:rPr>
          <w:sz w:val="22"/>
          <w:szCs w:val="22"/>
          <w:lang w:val="en-GB"/>
        </w:rPr>
      </w:pPr>
    </w:p>
    <w:p w14:paraId="62A96FE8" w14:textId="77777777" w:rsidR="00827D0D" w:rsidRPr="00AF3FE4" w:rsidRDefault="00000000" w:rsidP="007141CE">
      <w:pPr>
        <w:pBdr>
          <w:top w:val="nil"/>
          <w:left w:val="nil"/>
          <w:bottom w:val="nil"/>
          <w:right w:val="nil"/>
          <w:between w:val="nil"/>
        </w:pBdr>
        <w:spacing w:line="240" w:lineRule="auto"/>
        <w:jc w:val="both"/>
        <w:rPr>
          <w:b/>
          <w:color w:val="000000"/>
          <w:sz w:val="22"/>
          <w:szCs w:val="22"/>
          <w:lang w:val="en-GB"/>
        </w:rPr>
      </w:pPr>
      <w:r>
        <w:rPr>
          <w:rFonts w:ascii="SimSun" w:eastAsia="SimSun" w:hAnsi="SimSun" w:cs="SimSun"/>
          <w:b/>
          <w:bCs/>
          <w:color w:val="000000"/>
          <w:sz w:val="22"/>
          <w:szCs w:val="22"/>
          <w:lang w:val="en-GB" w:eastAsia="zh-CN"/>
        </w:rPr>
        <w:t>帝舵表</w:t>
      </w:r>
    </w:p>
    <w:p w14:paraId="19370607" w14:textId="77777777" w:rsidR="00827D0D" w:rsidRPr="00AF3FE4" w:rsidRDefault="00000000" w:rsidP="007141CE">
      <w:pPr>
        <w:spacing w:line="240" w:lineRule="auto"/>
        <w:jc w:val="both"/>
        <w:rPr>
          <w:sz w:val="22"/>
          <w:szCs w:val="22"/>
          <w:lang w:val="en-GB"/>
        </w:rPr>
      </w:pPr>
      <w:r>
        <w:rPr>
          <w:rFonts w:ascii="SimSun" w:eastAsia="SimSun" w:hAnsi="SimSun" w:cs="SimSun"/>
          <w:sz w:val="22"/>
          <w:szCs w:val="22"/>
          <w:lang w:val="en-GB" w:eastAsia="zh-CN"/>
        </w:rPr>
        <w:t>帝舵表是屡获殊荣的瑞士高级腕表品牌，所生产的腕表风格精致优雅，精准可靠，品质卓越，是物超所值之选。帝舵表的起源可追溯至1926年，劳力士创始人汉斯・威尔斯多夫（Hans Wilsdorf）注册了“The TUDOR”商标。1946年，他创立了Montres TUDOR SA帝舵表公司，所生产的腕表沿袭了劳力士所尊崇的品质理念，而售价却更为大众所接受。自创立以来，帝舵表一直为无惧陆上、海下及冰地挑战的勇敢人士所选戴。如今，帝舵表包括帝舵碧湾（Black Bay）、帝舵领潜（Pelagos）、帝舵1926及帝舵皇家（TUDOR Royal）等经典系列。自2015年起，帝舵表推出不同功能的优质原厂机械机芯。</w:t>
      </w:r>
    </w:p>
    <w:p w14:paraId="6EEEFFD9" w14:textId="77777777" w:rsidR="007141CE" w:rsidRPr="00AF3FE4" w:rsidRDefault="007141CE" w:rsidP="007141CE">
      <w:pPr>
        <w:spacing w:line="240" w:lineRule="auto"/>
        <w:jc w:val="both"/>
        <w:rPr>
          <w:sz w:val="22"/>
          <w:szCs w:val="22"/>
          <w:lang w:val="en-GB"/>
        </w:rPr>
      </w:pPr>
    </w:p>
    <w:p w14:paraId="61DA28B5" w14:textId="77777777" w:rsidR="00827D0D" w:rsidRPr="00AF3FE4" w:rsidRDefault="00000000" w:rsidP="007141CE">
      <w:pPr>
        <w:pBdr>
          <w:top w:val="nil"/>
          <w:left w:val="nil"/>
          <w:bottom w:val="nil"/>
          <w:right w:val="nil"/>
          <w:between w:val="nil"/>
        </w:pBdr>
        <w:spacing w:line="240" w:lineRule="auto"/>
        <w:rPr>
          <w:color w:val="151516"/>
          <w:sz w:val="22"/>
          <w:szCs w:val="22"/>
          <w:lang w:val="en-GB"/>
        </w:rPr>
      </w:pPr>
      <w:r>
        <w:rPr>
          <w:rFonts w:ascii="SimSun" w:eastAsia="SimSun" w:hAnsi="SimSun" w:cs="SimSun"/>
          <w:b/>
          <w:bCs/>
          <w:color w:val="151516"/>
          <w:sz w:val="22"/>
          <w:szCs w:val="22"/>
          <w:lang w:val="en-GB" w:eastAsia="zh-CN"/>
        </w:rPr>
        <w:t>迈阿密国际足球俱乐部</w:t>
      </w:r>
      <w:r>
        <w:rPr>
          <w:rFonts w:ascii="SimSun" w:eastAsia="SimSun" w:hAnsi="SimSun" w:cs="SimSun"/>
          <w:b/>
          <w:bCs/>
          <w:color w:val="151516"/>
          <w:sz w:val="22"/>
          <w:szCs w:val="22"/>
          <w:u w:val="single"/>
          <w:lang w:val="en-GB" w:eastAsia="zh-CN"/>
        </w:rPr>
        <w:br/>
      </w:r>
      <w:r>
        <w:rPr>
          <w:rFonts w:ascii="SimSun" w:eastAsia="SimSun" w:hAnsi="SimSun" w:cs="SimSun"/>
          <w:color w:val="151516"/>
          <w:sz w:val="22"/>
          <w:szCs w:val="22"/>
          <w:lang w:val="en-GB" w:eastAsia="zh-CN"/>
        </w:rPr>
        <w:t>迈阿密国际足球俱乐部是美国职业球队，目前在美国职业足球大联盟（Major League Soccer）出战第五赛季。其日常比赛及训练在总计34英亩的集中训练基地进行，其中包括大通体育场（Chase Stadium）、50,000平方英尺的训练中心，以及位于佛罗里达州劳德代尔堡的七个球场。除了美职联球队外，该俱乐部亦拥有MLS Next职业联赛球队迈阿密国际足球俱乐部二队（Inter Miami CF II），以及U-12至U-19年龄层的青训学院。迈阿密国际足球俱乐部的主要合作伙件包括：皇家加勒比国际游轮（Royal Caribbean）、Fracht Group、摩根大通（JPMorgan Chase）、Baptist Health及Florida Blue。如需更多信息，敬请访问</w:t>
      </w:r>
      <w:r>
        <w:rPr>
          <w:rFonts w:ascii="SimSun" w:eastAsia="SimSun" w:hAnsi="SimSun" w:cs="SimSun"/>
          <w:color w:val="000000"/>
          <w:sz w:val="22"/>
          <w:szCs w:val="22"/>
          <w:lang w:val="en-GB" w:eastAsia="zh-CN"/>
        </w:rPr>
        <w:t>www.intermiamicf.com</w:t>
      </w:r>
      <w:r>
        <w:rPr>
          <w:rFonts w:ascii="SimSun" w:eastAsia="SimSun" w:hAnsi="SimSun" w:cs="SimSun"/>
          <w:color w:val="151516"/>
          <w:sz w:val="22"/>
          <w:szCs w:val="22"/>
          <w:lang w:val="en-GB" w:eastAsia="zh-CN"/>
        </w:rPr>
        <w:t>。</w:t>
      </w:r>
    </w:p>
    <w:p w14:paraId="095891C8" w14:textId="77777777" w:rsidR="00827D0D" w:rsidRDefault="00827D0D"/>
    <w:sectPr w:rsidR="00827D0D" w:rsidSect="00565F29">
      <w:headerReference w:type="default" r:id="rId6"/>
      <w:footerReference w:type="default" r:id="rId7"/>
      <w:headerReference w:type="first" r:id="rId8"/>
      <w:footerReference w:type="first" r:id="rId9"/>
      <w:pgSz w:w="11906" w:h="16838"/>
      <w:pgMar w:top="3686" w:right="1133" w:bottom="1276" w:left="851" w:header="708" w:footer="58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2701" w14:textId="77777777" w:rsidR="00565F29" w:rsidRDefault="00565F29">
      <w:pPr>
        <w:spacing w:line="240" w:lineRule="auto"/>
      </w:pPr>
      <w:r>
        <w:separator/>
      </w:r>
    </w:p>
  </w:endnote>
  <w:endnote w:type="continuationSeparator" w:id="0">
    <w:p w14:paraId="19720AC5" w14:textId="77777777" w:rsidR="00565F29" w:rsidRDefault="00565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40ED" w14:textId="77777777" w:rsidR="00827D0D" w:rsidRDefault="00000000">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683F9805" wp14:editId="6AB7D40D">
          <wp:extent cx="444317" cy="252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444317" cy="252000"/>
                  </a:xfrm>
                  <a:prstGeom prst="rect">
                    <a:avLst/>
                  </a:prstGeom>
                </pic:spPr>
              </pic:pic>
            </a:graphicData>
          </a:graphic>
        </wp:inline>
      </w:drawing>
    </w:r>
    <w:r>
      <w:rPr>
        <w:rFonts w:ascii="SimSun" w:eastAsia="SimSun" w:hAnsi="SimSun" w:cs="SimSun"/>
        <w:color w:val="000000"/>
        <w:lang w:eastAsia="zh-CN"/>
      </w:rPr>
      <w:tab/>
    </w:r>
    <w:r>
      <w:rPr>
        <w:noProof/>
        <w:color w:val="000000"/>
      </w:rPr>
      <w:drawing>
        <wp:inline distT="0" distB="0" distL="0" distR="0" wp14:anchorId="294EE791" wp14:editId="53166E48">
          <wp:extent cx="127000" cy="182880"/>
          <wp:effectExtent l="0" t="0" r="0" b="0"/>
          <wp:docPr id="3"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3"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rFonts w:ascii="SimSun" w:eastAsia="SimSun" w:hAnsi="SimSun" w:cs="SimSun"/>
        <w:color w:val="000000"/>
        <w:lang w:eastAsia="zh-CN"/>
      </w:rPr>
      <w:tab/>
    </w:r>
    <w:r>
      <w:rPr>
        <w:color w:val="808080"/>
      </w:rPr>
      <w:fldChar w:fldCharType="begin"/>
    </w:r>
    <w:r>
      <w:rPr>
        <w:color w:val="808080"/>
      </w:rPr>
      <w:instrText>PAGE</w:instrText>
    </w:r>
    <w:r>
      <w:rPr>
        <w:color w:val="808080"/>
      </w:rPr>
      <w:fldChar w:fldCharType="separate"/>
    </w:r>
    <w:r>
      <w:rPr>
        <w:noProof/>
        <w:color w:val="808080"/>
      </w:rPr>
      <w:t>2</w:t>
    </w:r>
    <w:r>
      <w:rPr>
        <w:color w:val="808080"/>
      </w:rPr>
      <w:fldChar w:fldCharType="end"/>
    </w:r>
    <w:r>
      <w:rPr>
        <w:noProof/>
      </w:rPr>
      <mc:AlternateContent>
        <mc:Choice Requires="wps">
          <w:drawing>
            <wp:anchor distT="0" distB="0" distL="114300" distR="114300" simplePos="0" relativeHeight="251660288" behindDoc="0" locked="0" layoutInCell="1" allowOverlap="1" wp14:anchorId="1E919A5F" wp14:editId="52DBFCA9">
              <wp:simplePos x="0" y="0"/>
              <wp:positionH relativeFrom="column">
                <wp:posOffset>1</wp:posOffset>
              </wp:positionH>
              <wp:positionV relativeFrom="paragraph">
                <wp:posOffset>-63499</wp:posOffset>
              </wp:positionV>
              <wp:extent cx="6309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748604554" name="image4.png"/>
              <wp:cNvGraphicFramePr/>
              <a:graphic xmlns:a="http://schemas.openxmlformats.org/drawingml/2006/main">
                <a:graphicData uri="http://schemas.openxmlformats.org/drawingml/2006/picture">
                  <pic:pic xmlns:pic="http://schemas.openxmlformats.org/drawingml/2006/picture">
                    <pic:nvPicPr>
                      <pic:cNvPr id="748604554" name="image4.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A599" w14:textId="77777777" w:rsidR="00827D0D" w:rsidRDefault="00000000">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72ACD5B9" wp14:editId="6B90189C">
          <wp:extent cx="482956" cy="252000"/>
          <wp:effectExtent l="0" t="0" r="0" b="0"/>
          <wp:docPr id="5" name="image3.png" descr="C:\Users\novoa\AppData\Local\Microsoft\Windows\INetCache\Content.Word\TUDOR__HashBornToDare_Bloc__RVB.png"/>
          <wp:cNvGraphicFramePr/>
          <a:graphic xmlns:a="http://schemas.openxmlformats.org/drawingml/2006/main">
            <a:graphicData uri="http://schemas.openxmlformats.org/drawingml/2006/picture">
              <pic:pic xmlns:pic="http://schemas.openxmlformats.org/drawingml/2006/picture">
                <pic:nvPicPr>
                  <pic:cNvPr id="5" name="image3.png" descr="C:\Users\novoa\AppData\Local\Microsoft\Windows\INetCache\Content.Word\TUDOR__HashBornToDare_Bloc__RVB.png"/>
                  <pic:cNvPicPr/>
                </pic:nvPicPr>
                <pic:blipFill>
                  <a:blip r:embed="rId1"/>
                  <a:stretch>
                    <a:fillRect/>
                  </a:stretch>
                </pic:blipFill>
                <pic:spPr>
                  <a:xfrm>
                    <a:off x="0" y="0"/>
                    <a:ext cx="482956" cy="252000"/>
                  </a:xfrm>
                  <a:prstGeom prst="rect">
                    <a:avLst/>
                  </a:prstGeom>
                </pic:spPr>
              </pic:pic>
            </a:graphicData>
          </a:graphic>
        </wp:inline>
      </w:drawing>
    </w:r>
    <w:r>
      <w:rPr>
        <w:rFonts w:ascii="SimSun" w:eastAsia="SimSun" w:hAnsi="SimSun" w:cs="SimSun"/>
        <w:color w:val="000000"/>
        <w:lang w:eastAsia="zh-CN"/>
      </w:rPr>
      <w:tab/>
    </w:r>
    <w:r>
      <w:rPr>
        <w:noProof/>
        <w:color w:val="000000"/>
      </w:rPr>
      <w:drawing>
        <wp:inline distT="0" distB="0" distL="0" distR="0" wp14:anchorId="120D0300" wp14:editId="1838C0E3">
          <wp:extent cx="127000" cy="182880"/>
          <wp:effectExtent l="0" t="0" r="0" b="0"/>
          <wp:docPr id="8"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8"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rFonts w:ascii="SimSun" w:eastAsia="SimSun" w:hAnsi="SimSun" w:cs="SimSun"/>
        <w:color w:val="000000"/>
        <w:lang w:eastAsia="zh-CN"/>
      </w:rPr>
      <w:tab/>
    </w:r>
    <w:r>
      <w:rPr>
        <w:color w:val="808080"/>
      </w:rPr>
      <w:fldChar w:fldCharType="begin"/>
    </w:r>
    <w:r>
      <w:rPr>
        <w:color w:val="808080"/>
      </w:rPr>
      <w:instrText>PAGE</w:instrText>
    </w:r>
    <w:r>
      <w:rPr>
        <w:color w:val="808080"/>
      </w:rPr>
      <w:fldChar w:fldCharType="separate"/>
    </w:r>
    <w:r>
      <w:rPr>
        <w:noProof/>
        <w:color w:val="808080"/>
      </w:rPr>
      <w:t>1</w:t>
    </w:r>
    <w:r>
      <w:rPr>
        <w:color w:val="808080"/>
      </w:rPr>
      <w:fldChar w:fldCharType="end"/>
    </w:r>
    <w:r>
      <w:rPr>
        <w:noProof/>
      </w:rPr>
      <mc:AlternateContent>
        <mc:Choice Requires="wps">
          <w:drawing>
            <wp:anchor distT="0" distB="0" distL="114300" distR="114300" simplePos="0" relativeHeight="251661312" behindDoc="0" locked="0" layoutInCell="1" allowOverlap="1" wp14:anchorId="544C8C8C" wp14:editId="17B8A6A9">
              <wp:simplePos x="0" y="0"/>
              <wp:positionH relativeFrom="column">
                <wp:posOffset>1</wp:posOffset>
              </wp:positionH>
              <wp:positionV relativeFrom="paragraph">
                <wp:posOffset>-63499</wp:posOffset>
              </wp:positionV>
              <wp:extent cx="63095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1820981498" name="image5.png"/>
              <wp:cNvGraphicFramePr/>
              <a:graphic xmlns:a="http://schemas.openxmlformats.org/drawingml/2006/main">
                <a:graphicData uri="http://schemas.openxmlformats.org/drawingml/2006/picture">
                  <pic:pic xmlns:pic="http://schemas.openxmlformats.org/drawingml/2006/picture">
                    <pic:nvPicPr>
                      <pic:cNvPr id="1820981498" name="image5.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C980" w14:textId="77777777" w:rsidR="00565F29" w:rsidRDefault="00565F29">
      <w:pPr>
        <w:spacing w:line="240" w:lineRule="auto"/>
      </w:pPr>
      <w:r>
        <w:separator/>
      </w:r>
    </w:p>
  </w:footnote>
  <w:footnote w:type="continuationSeparator" w:id="0">
    <w:p w14:paraId="70CC49AC" w14:textId="77777777" w:rsidR="00565F29" w:rsidRDefault="00565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D382" w14:textId="77777777" w:rsidR="00827D0D" w:rsidRDefault="00000000">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1858B5DC" wp14:editId="1E456BA7">
          <wp:extent cx="1371600" cy="762000"/>
          <wp:effectExtent l="0" t="0" r="0" b="0"/>
          <wp:docPr id="6"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6"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0DEB" w14:textId="77777777" w:rsidR="00827D0D" w:rsidRDefault="00000000">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5C78CA8A" wp14:editId="20FF0699">
          <wp:extent cx="1371600" cy="762000"/>
          <wp:effectExtent l="0" t="0" r="0" b="0"/>
          <wp:docPr id="4"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4"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p w14:paraId="77B2FC09"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287BD54A"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31B240A4"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1E66955E"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607CFD0E" w14:textId="77777777" w:rsidR="00827D0D" w:rsidRDefault="00000000">
    <w:pPr>
      <w:pBdr>
        <w:top w:val="nil"/>
        <w:left w:val="nil"/>
        <w:bottom w:val="nil"/>
        <w:right w:val="nil"/>
        <w:between w:val="nil"/>
      </w:pBdr>
      <w:tabs>
        <w:tab w:val="center" w:pos="4536"/>
        <w:tab w:val="right" w:pos="9072"/>
      </w:tabs>
      <w:spacing w:line="240" w:lineRule="auto"/>
      <w:rPr>
        <w:color w:val="808080"/>
      </w:rPr>
    </w:pPr>
    <w:r>
      <w:rPr>
        <w:rFonts w:ascii="SimSun" w:eastAsia="SimSun" w:hAnsi="SimSun" w:cs="SimSun"/>
        <w:color w:val="808080"/>
        <w:lang w:eastAsia="zh-CN"/>
      </w:rPr>
      <w:t>新闻稿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D"/>
    <w:rsid w:val="00370124"/>
    <w:rsid w:val="0044705E"/>
    <w:rsid w:val="00544809"/>
    <w:rsid w:val="00565F29"/>
    <w:rsid w:val="00616A15"/>
    <w:rsid w:val="006437B6"/>
    <w:rsid w:val="007141CE"/>
    <w:rsid w:val="0077387F"/>
    <w:rsid w:val="007C389E"/>
    <w:rsid w:val="00827D0D"/>
    <w:rsid w:val="009B4D4B"/>
    <w:rsid w:val="00AA1FD5"/>
    <w:rsid w:val="00AF13D1"/>
    <w:rsid w:val="00AF3FE4"/>
    <w:rsid w:val="00D03B02"/>
    <w:rsid w:val="00F67C6C"/>
    <w:rsid w:val="00FF1FF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0311"/>
  <w15:docId w15:val="{84838394-535B-4697-A520-2850D9F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HK" w:eastAsia="fr-CH"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141CE"/>
    <w:pPr>
      <w:spacing w:line="240" w:lineRule="auto"/>
    </w:pPr>
  </w:style>
  <w:style w:type="character" w:styleId="CommentReference">
    <w:name w:val="annotation reference"/>
    <w:basedOn w:val="DefaultParagraphFont"/>
    <w:uiPriority w:val="99"/>
    <w:semiHidden/>
    <w:unhideWhenUsed/>
    <w:rsid w:val="006437B6"/>
    <w:rPr>
      <w:sz w:val="16"/>
      <w:szCs w:val="16"/>
    </w:rPr>
  </w:style>
  <w:style w:type="paragraph" w:styleId="CommentText">
    <w:name w:val="annotation text"/>
    <w:basedOn w:val="Normal"/>
    <w:link w:val="CommentTextChar"/>
    <w:uiPriority w:val="99"/>
    <w:unhideWhenUsed/>
    <w:rsid w:val="006437B6"/>
    <w:pPr>
      <w:spacing w:line="240" w:lineRule="auto"/>
    </w:pPr>
  </w:style>
  <w:style w:type="character" w:customStyle="1" w:styleId="CommentTextChar">
    <w:name w:val="Comment Text Char"/>
    <w:basedOn w:val="DefaultParagraphFont"/>
    <w:link w:val="CommentText"/>
    <w:uiPriority w:val="99"/>
    <w:rsid w:val="006437B6"/>
  </w:style>
  <w:style w:type="paragraph" w:styleId="CommentSubject">
    <w:name w:val="annotation subject"/>
    <w:basedOn w:val="CommentText"/>
    <w:next w:val="CommentText"/>
    <w:link w:val="CommentSubjectChar"/>
    <w:uiPriority w:val="99"/>
    <w:semiHidden/>
    <w:unhideWhenUsed/>
    <w:rsid w:val="006437B6"/>
    <w:rPr>
      <w:b/>
      <w:bCs/>
    </w:rPr>
  </w:style>
  <w:style w:type="character" w:customStyle="1" w:styleId="CommentSubjectChar">
    <w:name w:val="Comment Subject Char"/>
    <w:basedOn w:val="CommentTextChar"/>
    <w:link w:val="CommentSubject"/>
    <w:uiPriority w:val="99"/>
    <w:semiHidden/>
    <w:rsid w:val="006437B6"/>
    <w:rPr>
      <w:b/>
      <w:bCs/>
    </w:rPr>
  </w:style>
  <w:style w:type="paragraph" w:styleId="Header">
    <w:name w:val="header"/>
    <w:basedOn w:val="Normal"/>
    <w:link w:val="HeaderChar"/>
    <w:uiPriority w:val="99"/>
    <w:unhideWhenUsed/>
    <w:rsid w:val="00FF1FFC"/>
    <w:pPr>
      <w:tabs>
        <w:tab w:val="center" w:pos="4680"/>
        <w:tab w:val="right" w:pos="9360"/>
      </w:tabs>
      <w:spacing w:line="240" w:lineRule="auto"/>
    </w:pPr>
  </w:style>
  <w:style w:type="character" w:customStyle="1" w:styleId="HeaderChar">
    <w:name w:val="Header Char"/>
    <w:basedOn w:val="DefaultParagraphFont"/>
    <w:link w:val="Header"/>
    <w:uiPriority w:val="99"/>
    <w:rsid w:val="00FF1FFC"/>
  </w:style>
  <w:style w:type="paragraph" w:styleId="Footer">
    <w:name w:val="footer"/>
    <w:basedOn w:val="Normal"/>
    <w:link w:val="FooterChar"/>
    <w:uiPriority w:val="99"/>
    <w:unhideWhenUsed/>
    <w:rsid w:val="00FF1FFC"/>
    <w:pPr>
      <w:tabs>
        <w:tab w:val="center" w:pos="4680"/>
        <w:tab w:val="right" w:pos="9360"/>
      </w:tabs>
      <w:spacing w:line="240" w:lineRule="auto"/>
    </w:pPr>
  </w:style>
  <w:style w:type="character" w:customStyle="1" w:styleId="FooterChar">
    <w:name w:val="Footer Char"/>
    <w:basedOn w:val="DefaultParagraphFont"/>
    <w:link w:val="Footer"/>
    <w:uiPriority w:val="99"/>
    <w:rsid w:val="00FF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YESIL</dc:creator>
  <cp:lastModifiedBy>Tsz Hin MAK</cp:lastModifiedBy>
  <cp:revision>7</cp:revision>
  <dcterms:created xsi:type="dcterms:W3CDTF">2024-04-03T15:17:00Z</dcterms:created>
  <dcterms:modified xsi:type="dcterms:W3CDTF">2024-05-07T08:37:00Z</dcterms:modified>
</cp:coreProperties>
</file>